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13" w:rsidRDefault="00977113" w:rsidP="00977113">
      <w:pPr>
        <w:tabs>
          <w:tab w:val="left" w:pos="540"/>
        </w:tabs>
        <w:autoSpaceDE w:val="0"/>
        <w:autoSpaceDN w:val="0"/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7113" w:rsidRPr="00977113" w:rsidRDefault="00977113" w:rsidP="00977113">
      <w:pPr>
        <w:tabs>
          <w:tab w:val="left" w:pos="540"/>
        </w:tabs>
        <w:autoSpaceDE w:val="0"/>
        <w:autoSpaceDN w:val="0"/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7113">
        <w:rPr>
          <w:rFonts w:ascii="Times New Roman" w:eastAsia="Calibri" w:hAnsi="Times New Roman" w:cs="Times New Roman"/>
          <w:b/>
          <w:sz w:val="28"/>
          <w:szCs w:val="28"/>
        </w:rPr>
        <w:t>Звіт про виконання обласної  Програми підтримки внутрішньо переміщених осіб у Чернігівській області на 2023-2024 роки, за 202</w:t>
      </w:r>
      <w:r w:rsidR="004A43AE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977113">
        <w:rPr>
          <w:rFonts w:ascii="Times New Roman" w:eastAsia="Calibri" w:hAnsi="Times New Roman" w:cs="Times New Roman"/>
          <w:b/>
          <w:sz w:val="28"/>
          <w:szCs w:val="28"/>
        </w:rPr>
        <w:t xml:space="preserve"> рік</w:t>
      </w:r>
    </w:p>
    <w:tbl>
      <w:tblPr>
        <w:tblW w:w="15321" w:type="dxa"/>
        <w:tblInd w:w="-89" w:type="dxa"/>
        <w:tblLook w:val="01E0"/>
      </w:tblPr>
      <w:tblGrid>
        <w:gridCol w:w="426"/>
        <w:gridCol w:w="709"/>
        <w:gridCol w:w="14186"/>
      </w:tblGrid>
      <w:tr w:rsidR="00977113" w:rsidRPr="00977113" w:rsidTr="002A48D8">
        <w:tc>
          <w:tcPr>
            <w:tcW w:w="426" w:type="dxa"/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11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113" w:rsidRPr="00977113" w:rsidRDefault="00977113" w:rsidP="009771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7113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соціального захисту населення Чернігівської об</w:t>
            </w:r>
            <w:r w:rsidR="00A74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ласної державної адміністрації </w:t>
            </w:r>
          </w:p>
        </w:tc>
      </w:tr>
      <w:tr w:rsidR="00977113" w:rsidRPr="00977113" w:rsidTr="002A48D8">
        <w:tc>
          <w:tcPr>
            <w:tcW w:w="426" w:type="dxa"/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113" w:rsidRPr="00977113" w:rsidRDefault="00977113" w:rsidP="00A740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005">
              <w:rPr>
                <w:rFonts w:ascii="Times New Roman" w:eastAsia="Calibri" w:hAnsi="Times New Roman" w:cs="Times New Roman"/>
                <w:sz w:val="20"/>
                <w:szCs w:val="24"/>
              </w:rPr>
              <w:t>(найменування головного розпорядника)</w:t>
            </w:r>
          </w:p>
        </w:tc>
      </w:tr>
      <w:tr w:rsidR="00977113" w:rsidRPr="00977113" w:rsidTr="002A48D8">
        <w:tc>
          <w:tcPr>
            <w:tcW w:w="426" w:type="dxa"/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11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113" w:rsidRPr="00977113" w:rsidRDefault="00977113" w:rsidP="00927D8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77113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 соціального захисту населення Чернігівської обласної державної адміністрації</w:t>
            </w:r>
          </w:p>
        </w:tc>
      </w:tr>
      <w:tr w:rsidR="00977113" w:rsidRPr="00977113" w:rsidTr="002A48D8">
        <w:tc>
          <w:tcPr>
            <w:tcW w:w="426" w:type="dxa"/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113" w:rsidRPr="00977113" w:rsidRDefault="00A74005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005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="00977113" w:rsidRPr="00A74005">
              <w:rPr>
                <w:rFonts w:ascii="Times New Roman" w:eastAsia="Calibri" w:hAnsi="Times New Roman" w:cs="Times New Roman"/>
                <w:sz w:val="20"/>
                <w:szCs w:val="24"/>
              </w:rPr>
              <w:t>найменування відповідального виконавця програми</w:t>
            </w:r>
            <w:r w:rsidRPr="00A74005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</w:tr>
      <w:tr w:rsidR="00977113" w:rsidRPr="00977113" w:rsidTr="002A48D8">
        <w:tc>
          <w:tcPr>
            <w:tcW w:w="426" w:type="dxa"/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11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113" w:rsidRPr="00977113" w:rsidRDefault="00977113" w:rsidP="00927D88">
            <w:pPr>
              <w:tabs>
                <w:tab w:val="left" w:pos="540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71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Програма підтримки внутрішньо переміщених осіб у Чернігівській області на 2023-2024 роки,</w:t>
            </w:r>
          </w:p>
          <w:p w:rsidR="00977113" w:rsidRPr="00977113" w:rsidRDefault="00977113" w:rsidP="00927D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77113">
              <w:rPr>
                <w:rFonts w:ascii="Times New Roman" w:eastAsia="Calibri" w:hAnsi="Times New Roman" w:cs="Times New Roman"/>
                <w:sz w:val="24"/>
                <w:szCs w:val="24"/>
              </w:rPr>
              <w:t>Розпорядження начальника Чернігівської обласної військової адміністрації</w:t>
            </w:r>
            <w:r w:rsidR="00A74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від 08.06.2023 № 350</w:t>
            </w:r>
          </w:p>
        </w:tc>
      </w:tr>
      <w:tr w:rsidR="00977113" w:rsidRPr="00977113" w:rsidTr="002A48D8">
        <w:tc>
          <w:tcPr>
            <w:tcW w:w="426" w:type="dxa"/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113" w:rsidRPr="00977113" w:rsidRDefault="00977113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113" w:rsidRPr="00977113" w:rsidRDefault="00A74005" w:rsidP="009771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4005">
              <w:rPr>
                <w:rFonts w:ascii="Times New Roman" w:eastAsia="Calibri" w:hAnsi="Times New Roman" w:cs="Times New Roman"/>
                <w:sz w:val="20"/>
                <w:szCs w:val="24"/>
              </w:rPr>
              <w:t>(</w:t>
            </w:r>
            <w:r w:rsidR="00977113" w:rsidRPr="00A74005">
              <w:rPr>
                <w:rFonts w:ascii="Times New Roman" w:eastAsia="Calibri" w:hAnsi="Times New Roman" w:cs="Times New Roman"/>
                <w:sz w:val="20"/>
                <w:szCs w:val="24"/>
              </w:rPr>
              <w:t>найменування програми, дата і номер рішення обласної ради про її затвердження</w:t>
            </w:r>
            <w:r w:rsidRPr="00A74005">
              <w:rPr>
                <w:rFonts w:ascii="Times New Roman" w:eastAsia="Calibri" w:hAnsi="Times New Roman" w:cs="Times New Roman"/>
                <w:sz w:val="20"/>
                <w:szCs w:val="24"/>
              </w:rPr>
              <w:t>)</w:t>
            </w:r>
          </w:p>
        </w:tc>
      </w:tr>
    </w:tbl>
    <w:p w:rsidR="00977113" w:rsidRPr="00977113" w:rsidRDefault="00977113" w:rsidP="00977113">
      <w:pPr>
        <w:tabs>
          <w:tab w:val="left" w:pos="540"/>
        </w:tabs>
        <w:autoSpaceDE w:val="0"/>
        <w:autoSpaceDN w:val="0"/>
        <w:spacing w:after="1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77113">
        <w:rPr>
          <w:rFonts w:ascii="Times New Roman" w:eastAsia="Calibri" w:hAnsi="Times New Roman" w:cs="Times New Roman"/>
          <w:b/>
          <w:sz w:val="24"/>
          <w:szCs w:val="24"/>
        </w:rPr>
        <w:t>4. Напрями діяльності та заходи регіональної цільової Програми підтримки внутрішньо переміщених осіб у Чернігівській області на 2023-2024 роки</w:t>
      </w:r>
    </w:p>
    <w:tbl>
      <w:tblPr>
        <w:tblStyle w:val="a3"/>
        <w:tblW w:w="16215" w:type="dxa"/>
        <w:jc w:val="center"/>
        <w:tblLayout w:type="fixed"/>
        <w:tblLook w:val="04A0"/>
      </w:tblPr>
      <w:tblGrid>
        <w:gridCol w:w="534"/>
        <w:gridCol w:w="1562"/>
        <w:gridCol w:w="1418"/>
        <w:gridCol w:w="283"/>
        <w:gridCol w:w="370"/>
        <w:gridCol w:w="996"/>
        <w:gridCol w:w="1281"/>
        <w:gridCol w:w="472"/>
        <w:gridCol w:w="240"/>
        <w:gridCol w:w="625"/>
        <w:gridCol w:w="318"/>
        <w:gridCol w:w="320"/>
        <w:gridCol w:w="1192"/>
        <w:gridCol w:w="1454"/>
        <w:gridCol w:w="606"/>
        <w:gridCol w:w="602"/>
        <w:gridCol w:w="3942"/>
      </w:tblGrid>
      <w:tr w:rsidR="008716CC" w:rsidRPr="00E41B1E" w:rsidTr="00F401D8">
        <w:trPr>
          <w:trHeight w:val="227"/>
          <w:jc w:val="center"/>
        </w:trPr>
        <w:tc>
          <w:tcPr>
            <w:tcW w:w="534" w:type="dxa"/>
            <w:vMerge w:val="restart"/>
          </w:tcPr>
          <w:p w:rsidR="008716CC" w:rsidRPr="00F45891" w:rsidRDefault="008716CC" w:rsidP="00964674">
            <w:pPr>
              <w:jc w:val="both"/>
              <w:rPr>
                <w:rFonts w:ascii="Times New Roman" w:eastAsia="Calibri" w:hAnsi="Times New Roman" w:cs="Times New Roman"/>
                <w:szCs w:val="20"/>
              </w:rPr>
            </w:pPr>
            <w:r w:rsidRPr="00F45891">
              <w:rPr>
                <w:rFonts w:ascii="Times New Roman" w:eastAsia="Calibri" w:hAnsi="Times New Roman" w:cs="Times New Roman"/>
                <w:szCs w:val="20"/>
              </w:rPr>
              <w:t>№ з/п</w:t>
            </w:r>
          </w:p>
        </w:tc>
        <w:tc>
          <w:tcPr>
            <w:tcW w:w="1562" w:type="dxa"/>
            <w:vMerge w:val="restart"/>
          </w:tcPr>
          <w:p w:rsidR="008716CC" w:rsidRPr="00E41B1E" w:rsidRDefault="008716CC" w:rsidP="009646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Захід</w:t>
            </w:r>
          </w:p>
        </w:tc>
        <w:tc>
          <w:tcPr>
            <w:tcW w:w="1418" w:type="dxa"/>
            <w:vMerge w:val="restart"/>
          </w:tcPr>
          <w:p w:rsidR="008716CC" w:rsidRPr="00E41B1E" w:rsidRDefault="008716CC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Головний виконавець та строк виконання заходу</w:t>
            </w:r>
          </w:p>
        </w:tc>
        <w:tc>
          <w:tcPr>
            <w:tcW w:w="3402" w:type="dxa"/>
            <w:gridSpan w:val="5"/>
          </w:tcPr>
          <w:p w:rsidR="008716CC" w:rsidRPr="008716CC" w:rsidRDefault="008716CC" w:rsidP="009646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Бюджетні асигнування з урахуванням змін, тис. </w:t>
            </w:r>
            <w:proofErr w:type="spellStart"/>
            <w:r w:rsidRPr="00E41B1E">
              <w:rPr>
                <w:rFonts w:ascii="Times New Roman" w:eastAsia="Calibri" w:hAnsi="Times New Roman" w:cs="Times New Roman"/>
              </w:rPr>
              <w:t>грн</w:t>
            </w:r>
            <w:proofErr w:type="spellEnd"/>
          </w:p>
        </w:tc>
        <w:tc>
          <w:tcPr>
            <w:tcW w:w="5357" w:type="dxa"/>
            <w:gridSpan w:val="8"/>
          </w:tcPr>
          <w:p w:rsidR="008716CC" w:rsidRPr="008716CC" w:rsidRDefault="008716CC" w:rsidP="00964674">
            <w:pPr>
              <w:jc w:val="center"/>
              <w:rPr>
                <w:rFonts w:ascii="Times New Roman" w:eastAsia="Calibri" w:hAnsi="Times New Roman" w:cs="Times New Roman"/>
                <w:sz w:val="12"/>
              </w:rPr>
            </w:pPr>
          </w:p>
          <w:p w:rsidR="008716CC" w:rsidRPr="008716CC" w:rsidRDefault="008716CC" w:rsidP="009646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Проведені видатки, тис. </w:t>
            </w:r>
            <w:proofErr w:type="spellStart"/>
            <w:r w:rsidRPr="00E41B1E">
              <w:rPr>
                <w:rFonts w:ascii="Times New Roman" w:eastAsia="Calibri" w:hAnsi="Times New Roman" w:cs="Times New Roman"/>
              </w:rPr>
              <w:t>грн</w:t>
            </w:r>
            <w:proofErr w:type="spellEnd"/>
          </w:p>
        </w:tc>
        <w:tc>
          <w:tcPr>
            <w:tcW w:w="3942" w:type="dxa"/>
            <w:vMerge w:val="restart"/>
          </w:tcPr>
          <w:p w:rsidR="008716CC" w:rsidRPr="008716CC" w:rsidRDefault="008716CC" w:rsidP="00964674">
            <w:pPr>
              <w:spacing w:line="216" w:lineRule="auto"/>
              <w:jc w:val="center"/>
              <w:rPr>
                <w:rFonts w:ascii="Times New Roman" w:eastAsia="Tahoma" w:hAnsi="Times New Roman" w:cs="Times New Roman"/>
                <w:szCs w:val="24"/>
              </w:rPr>
            </w:pPr>
            <w:r w:rsidRPr="00E41B1E">
              <w:rPr>
                <w:rFonts w:ascii="Times New Roman" w:eastAsia="Calibri" w:hAnsi="Times New Roman" w:cs="Times New Roman"/>
                <w:szCs w:val="20"/>
              </w:rPr>
              <w:t>Стан виконання заходів (результативні показники виконання програми)</w:t>
            </w:r>
          </w:p>
        </w:tc>
      </w:tr>
      <w:tr w:rsidR="00977113" w:rsidRPr="00E41B1E" w:rsidTr="00F401D8">
        <w:trPr>
          <w:trHeight w:val="324"/>
          <w:jc w:val="center"/>
        </w:trPr>
        <w:tc>
          <w:tcPr>
            <w:tcW w:w="534" w:type="dxa"/>
            <w:vMerge/>
          </w:tcPr>
          <w:p w:rsidR="00977113" w:rsidRPr="00F45891" w:rsidRDefault="00977113" w:rsidP="0096467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77113" w:rsidRPr="00E41B1E" w:rsidRDefault="00977113" w:rsidP="0096467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77113" w:rsidRPr="00E41B1E" w:rsidRDefault="00977113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 w:val="restart"/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Усього:</w:t>
            </w:r>
          </w:p>
        </w:tc>
        <w:tc>
          <w:tcPr>
            <w:tcW w:w="3119" w:type="dxa"/>
            <w:gridSpan w:val="4"/>
          </w:tcPr>
          <w:p w:rsidR="00977113" w:rsidRPr="008716CC" w:rsidRDefault="00977113" w:rsidP="009646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у тому числі</w:t>
            </w:r>
          </w:p>
        </w:tc>
        <w:tc>
          <w:tcPr>
            <w:tcW w:w="1183" w:type="dxa"/>
            <w:gridSpan w:val="3"/>
          </w:tcPr>
          <w:p w:rsidR="00977113" w:rsidRPr="008716CC" w:rsidRDefault="00977113" w:rsidP="00964674">
            <w:pPr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Усього</w:t>
            </w:r>
          </w:p>
        </w:tc>
        <w:tc>
          <w:tcPr>
            <w:tcW w:w="4174" w:type="dxa"/>
            <w:gridSpan w:val="5"/>
          </w:tcPr>
          <w:p w:rsidR="00977113" w:rsidRPr="008716CC" w:rsidRDefault="00977113" w:rsidP="0096467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  <w:szCs w:val="20"/>
              </w:rPr>
              <w:t>у тому числі</w:t>
            </w:r>
          </w:p>
        </w:tc>
        <w:tc>
          <w:tcPr>
            <w:tcW w:w="3942" w:type="dxa"/>
            <w:vMerge/>
          </w:tcPr>
          <w:p w:rsidR="00977113" w:rsidRPr="00E41B1E" w:rsidRDefault="00977113" w:rsidP="00964674">
            <w:pPr>
              <w:spacing w:line="21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977113" w:rsidRPr="00E41B1E" w:rsidTr="00D11124">
        <w:trPr>
          <w:cantSplit/>
          <w:trHeight w:val="3748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977113" w:rsidRPr="00E41B1E" w:rsidRDefault="00977113" w:rsidP="0096467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977113" w:rsidRPr="00E41B1E" w:rsidRDefault="00977113" w:rsidP="0096467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77113" w:rsidRPr="00E41B1E" w:rsidRDefault="00977113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обласний бюджет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районний, міський (міст обласного підпорядкування) бюджети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бюджети сіл, селищ, міст районного підпорядкування </w:t>
            </w:r>
          </w:p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(в т.ч. об’єднаних територіальних</w:t>
            </w:r>
            <w:r w:rsidRPr="008716CC">
              <w:rPr>
                <w:rFonts w:ascii="Times New Roman" w:eastAsia="Calibri" w:hAnsi="Times New Roman" w:cs="Times New Roman"/>
              </w:rPr>
              <w:t xml:space="preserve"> громад)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кошти не бюджетних джерел</w:t>
            </w: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716CC">
              <w:rPr>
                <w:rFonts w:ascii="Times New Roman" w:eastAsia="Calibri" w:hAnsi="Times New Roman" w:cs="Times New Roman"/>
              </w:rPr>
              <w:t>довідково</w:t>
            </w:r>
            <w:proofErr w:type="spellEnd"/>
            <w:r w:rsidRPr="008716CC">
              <w:rPr>
                <w:rFonts w:ascii="Times New Roman" w:eastAsia="Calibri" w:hAnsi="Times New Roman" w:cs="Times New Roman"/>
              </w:rPr>
              <w:t>: державний бюджет</w:t>
            </w:r>
          </w:p>
        </w:tc>
        <w:tc>
          <w:tcPr>
            <w:tcW w:w="318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0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обласний бюджет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районний, міський (міст обласного підпорядкування) бюджети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бюджети сіл, селищ, міст районного підпорядкування</w:t>
            </w:r>
          </w:p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(в т.ч. об’єднаних територіальних</w:t>
            </w:r>
            <w:r w:rsidRPr="008716CC">
              <w:rPr>
                <w:rFonts w:ascii="Times New Roman" w:eastAsia="Calibri" w:hAnsi="Times New Roman" w:cs="Times New Roman"/>
              </w:rPr>
              <w:t xml:space="preserve"> громад)</w:t>
            </w:r>
          </w:p>
        </w:tc>
        <w:tc>
          <w:tcPr>
            <w:tcW w:w="606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r w:rsidRPr="008716CC">
              <w:rPr>
                <w:rFonts w:ascii="Times New Roman" w:eastAsia="Calibri" w:hAnsi="Times New Roman" w:cs="Times New Roman"/>
              </w:rPr>
              <w:t>кошти не бюджетних джерел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textDirection w:val="btLr"/>
          </w:tcPr>
          <w:p w:rsidR="00977113" w:rsidRPr="008716CC" w:rsidRDefault="00977113" w:rsidP="00964674">
            <w:pPr>
              <w:ind w:left="113" w:right="113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716CC">
              <w:rPr>
                <w:rFonts w:ascii="Times New Roman" w:eastAsia="Calibri" w:hAnsi="Times New Roman" w:cs="Times New Roman"/>
              </w:rPr>
              <w:t>довідково</w:t>
            </w:r>
            <w:proofErr w:type="spellEnd"/>
            <w:r w:rsidRPr="008716CC">
              <w:rPr>
                <w:rFonts w:ascii="Times New Roman" w:eastAsia="Calibri" w:hAnsi="Times New Roman" w:cs="Times New Roman"/>
              </w:rPr>
              <w:t>: державний бюджет</w:t>
            </w:r>
          </w:p>
        </w:tc>
        <w:tc>
          <w:tcPr>
            <w:tcW w:w="3942" w:type="dxa"/>
            <w:vMerge/>
            <w:tcBorders>
              <w:bottom w:val="single" w:sz="4" w:space="0" w:color="auto"/>
            </w:tcBorders>
          </w:tcPr>
          <w:p w:rsidR="00977113" w:rsidRPr="00E41B1E" w:rsidRDefault="00977113" w:rsidP="00964674">
            <w:pPr>
              <w:spacing w:line="21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E41B1E" w:rsidRPr="00E41B1E" w:rsidTr="00F401D8">
        <w:trPr>
          <w:trHeight w:val="271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5681" w:type="dxa"/>
            <w:gridSpan w:val="16"/>
          </w:tcPr>
          <w:p w:rsidR="00E41B1E" w:rsidRPr="00977113" w:rsidRDefault="00E41B1E" w:rsidP="004A43AE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 w:rsidRPr="00E41B1E">
              <w:rPr>
                <w:rFonts w:ascii="Times New Roman" w:eastAsia="Calibri" w:hAnsi="Times New Roman" w:cs="Times New Roman"/>
                <w:szCs w:val="20"/>
              </w:rPr>
              <w:t>202</w:t>
            </w:r>
            <w:r w:rsidR="004A43AE">
              <w:rPr>
                <w:rFonts w:ascii="Times New Roman" w:eastAsia="Calibri" w:hAnsi="Times New Roman" w:cs="Times New Roman"/>
                <w:szCs w:val="20"/>
              </w:rPr>
              <w:t>4</w:t>
            </w:r>
            <w:r w:rsidRPr="00E41B1E">
              <w:rPr>
                <w:rFonts w:ascii="Times New Roman" w:eastAsia="Calibri" w:hAnsi="Times New Roman" w:cs="Times New Roman"/>
                <w:szCs w:val="20"/>
              </w:rPr>
              <w:t xml:space="preserve"> рік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Надання установами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охорони здоров’я медичних послуг з первинної допомоги громадянам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 xml:space="preserve">Управління охорони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здоров’я облдержадміністрації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Міські, селищні, сільські ради (за згодою)</w:t>
            </w:r>
          </w:p>
          <w:p w:rsidR="00E41B1E" w:rsidRPr="00E41B1E" w:rsidRDefault="00E41B1E" w:rsidP="00964674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D47B40" w:rsidRDefault="0036646F" w:rsidP="00D47B40">
            <w:pPr>
              <w:spacing w:line="21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  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В</w:t>
            </w:r>
            <w:r w:rsidR="00E41B1E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нутрішньо переміщен</w:t>
            </w:r>
            <w:r w:rsidR="00876B6A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="00E41B1E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</w:t>
            </w:r>
            <w:r w:rsidR="00876B6A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забезпечуються 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необхідн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ими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lastRenderedPageBreak/>
              <w:t>медичн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ими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послуг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ами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. 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До надання медичної допомоги в області залучено 74 заклади охорони </w:t>
            </w:r>
            <w:proofErr w:type="spellStart"/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здоров’</w:t>
            </w:r>
            <w:proofErr w:type="spellEnd"/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  <w:t>я.</w:t>
            </w:r>
          </w:p>
          <w:p w:rsidR="00E41B1E" w:rsidRPr="00887CE8" w:rsidRDefault="0036646F" w:rsidP="00D47B40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 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У 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202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4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році медичні послуги 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з первинної та спеціалізованої допомоги надані 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99</w:t>
            </w:r>
            <w:r w:rsidR="00876B6A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>45</w:t>
            </w:r>
            <w:r w:rsidR="00E41B1E" w:rsidRPr="00D47B40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  <w:r w:rsidR="00E41B1E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 переміщени</w:t>
            </w:r>
            <w:r w:rsidR="00D47B40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E41B1E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</w:t>
            </w:r>
            <w:r w:rsidR="00D47B40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обам</w:t>
            </w:r>
            <w:r w:rsidR="00E41B1E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76B6A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Середня кількість осіб, яким надана </w:t>
            </w:r>
            <w:r w:rsidR="00D47B40" w:rsidRPr="00D47B40">
              <w:rPr>
                <w:rFonts w:ascii="Times New Roman" w:eastAsia="Calibri" w:hAnsi="Times New Roman" w:cs="Times New Roman"/>
                <w:sz w:val="24"/>
                <w:szCs w:val="24"/>
              </w:rPr>
              <w:t>медична допомога в одному медичному закладі складає 134.</w:t>
            </w:r>
          </w:p>
        </w:tc>
      </w:tr>
      <w:tr w:rsidR="00E41B1E" w:rsidRPr="00E41B1E" w:rsidTr="00D11124">
        <w:trPr>
          <w:trHeight w:val="2458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Здійснення виїздів мобільних медичних бригад в населені пункти області та місця компактного проживання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Управління охорони здоров’я облдержадміністрації</w:t>
            </w:r>
          </w:p>
          <w:p w:rsidR="00E41B1E" w:rsidRPr="00E41B1E" w:rsidRDefault="00E41B1E" w:rsidP="00964674">
            <w:pPr>
              <w:jc w:val="both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1574EA" w:rsidRPr="00B335F6" w:rsidRDefault="0036646F" w:rsidP="00964674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47B40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 2024 році з </w:t>
            </w:r>
            <w:proofErr w:type="spellStart"/>
            <w:r w:rsidR="001574EA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</w:t>
            </w:r>
            <w:proofErr w:type="spellEnd"/>
            <w:r w:rsidR="001574EA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метою забезпечення надання консультативної медичної допомоги мешканцям віддалених населених пунктів Чернігівщини, у тому числі ВПО, здійснювалися виїзди мобільних бригад.</w:t>
            </w:r>
          </w:p>
          <w:p w:rsidR="001574EA" w:rsidRPr="00B335F6" w:rsidRDefault="0036646F" w:rsidP="00964674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1574EA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Загальна кількість мобільних виїзних бригад – 11. Кількість оглянутих осіб – 44706, з них ВПО – 807. Середня кількість оглянутих осіб на одну бригаду – 4064, з них ВПО – 8.</w:t>
            </w:r>
          </w:p>
          <w:p w:rsidR="00C14315" w:rsidRPr="00B335F6" w:rsidRDefault="0036646F" w:rsidP="00964674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Висококваліфікованими фахівцями закладів охорони здоров’я за п</w:t>
            </w:r>
            <w:r w:rsidR="00B335F6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дтримки 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ДУ «Чернігівський обласний центр контролю та </w:t>
            </w:r>
            <w:proofErr w:type="spellStart"/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профі-лактики</w:t>
            </w:r>
            <w:proofErr w:type="spellEnd"/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хвороб МОЗ України»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 складі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- 2 бригад</w:t>
            </w:r>
            <w:r w:rsidR="00B335F6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здійснено 42 виїзди, де оглянуто 5387 осіб, з яких 21 - ВПО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C14315" w:rsidRPr="00B335F6" w:rsidRDefault="0036646F" w:rsidP="00964674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7-м</w:t>
            </w:r>
            <w:r w:rsidR="00B335F6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мобільними бригадами з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 підтримки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Чернігівської  обласної організації Товариства 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Червоного Хреста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Украї</w:t>
            </w:r>
            <w:r w:rsidR="00B335F6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ни за 2024 рік здійснено 1502 ви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їзди, де були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оглянуті та отримали консультації 34879 осіб, із них ВПО – 769.</w:t>
            </w:r>
          </w:p>
          <w:p w:rsidR="00E41B1E" w:rsidRPr="00887CE8" w:rsidRDefault="0036646F" w:rsidP="00B335F6">
            <w:pPr>
              <w:tabs>
                <w:tab w:val="left" w:pos="3480"/>
              </w:tabs>
              <w:spacing w:line="21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мобільни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ми 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бригад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ами у складі лікарів 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КНП «Пологовий будинок» Ч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ернігівської міської ради під егідою фонду ООН у галузі народонаселення (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val="en-US" w:eastAsia="uk-UA"/>
              </w:rPr>
              <w:t>UNFPA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 за 2024 рік було здійснено 222 виїзди</w:t>
            </w:r>
            <w:r w:rsidR="00E41B1E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,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де оглянуто та н</w:t>
            </w:r>
            <w:r w:rsidR="00B335F6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дано консультації 4440 жінкам, із них</w:t>
            </w:r>
            <w:r w:rsidR="00B335F6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C14315" w:rsidRPr="00B335F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ВПО – 17.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Розбудова мережі спеціалізованих служб для осіб, постраждалих від домашнього насильства та/або насильства за ознакою статі</w:t>
            </w: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Департамент сім’ї, молоді та спорту облдержадміністрації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FA18EF" w:rsidRPr="00FA18EF" w:rsidRDefault="0036646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У 2024 році розпочали функціонування 1 денний центр соціально-психологічної допомоги особам, які постраждали від домашнього насильства та/або насильства за ознакою статі,</w:t>
            </w:r>
            <w:r w:rsidR="00FA18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 3 спеціалізовані служби первинного соціально-психологічного консультування та 5 мобільних бригад соціально-психологічної допомоги особам, які постраждали від домашнього насильства та/або насильства за ознакою статі.</w:t>
            </w:r>
          </w:p>
          <w:p w:rsidR="00FA18EF" w:rsidRPr="00FA18EF" w:rsidRDefault="0036646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Станом на 01.01.2025 в області функціонує 51 спеціалізована служба підтримки постраждалих осіб, зокрема: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- 3 денних центри соціально-психологічної допомоги особам, які постраждали від домашнього насильства та/або насильства за ознакою статі, 2 з них з «кризовою кімнатою»; 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>- 6 спеціалізованих служб первинного соціально-</w:t>
            </w:r>
            <w:r w:rsidRPr="00FA1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психологічного консультування осіб, які постраждали від домашнього насильства та/або насильства за ознакою статі;</w:t>
            </w:r>
          </w:p>
          <w:p w:rsidR="00E41B1E" w:rsidRPr="00887CE8" w:rsidRDefault="00FA18EF" w:rsidP="00FA18E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>- 42 мобільні бригади соціально-психологічної допомоги особам, які постраждали від домашнього насильства та/або насильства за ознакою статі 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  <w:lang w:eastAsia="ar-SA"/>
              </w:rPr>
              <w:t xml:space="preserve">Проведення інформаційно-просвітницьких заходів з питань запобігання та протидії домашньому насильству, зокрема для осіб з числа ВПО. Розповсюдження буклетів та пам’яток щодо форм, причин та наслідків домашнього насильства, прав постраждалих осіб на захист і допомогу, а також про відповідальність </w:t>
            </w:r>
            <w:r w:rsidRPr="00E41B1E">
              <w:rPr>
                <w:rFonts w:ascii="Times New Roman" w:eastAsia="Calibri" w:hAnsi="Times New Roman" w:cs="Times New Roman"/>
                <w:lang w:eastAsia="ar-SA"/>
              </w:rPr>
              <w:lastRenderedPageBreak/>
              <w:t>кривдників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>Департамент сім’ї, молоді та спорту облдержадміністрації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FA18EF" w:rsidRPr="00FA18EF" w:rsidRDefault="0036646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акції «16 днів проти насильства» в Чернігівській області проведено низку різноманітних заходів за участю всіх суб’єктів державної влади, до компетенції яких належить здійснення заходів з попередження домашнього насильства та жорстокого поводження з дітьми, загальноосвітніх навчальних закладів області, закладів охорони здоров’я та громадських організацій. </w:t>
            </w:r>
          </w:p>
          <w:p w:rsidR="00FA18EF" w:rsidRPr="00FA18EF" w:rsidRDefault="0036646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Заходи спрямовані на п</w:t>
            </w:r>
            <w:r w:rsidR="00FA18EF">
              <w:rPr>
                <w:rFonts w:ascii="Times New Roman" w:hAnsi="Times New Roman" w:cs="Times New Roman"/>
                <w:sz w:val="24"/>
                <w:szCs w:val="24"/>
              </w:rPr>
              <w:t xml:space="preserve">ідвищення обізнаності населення, в тому числі осіб з числа ВПО,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щодо шляхів попередження та інструментів протидії дискримінації за ознакою статі, попередження та зупинення усіх форм насильства стосовно жінок і дітей, формування нетерпимого ставлення до жорстокого поводження в сім’ї.</w:t>
            </w:r>
          </w:p>
          <w:p w:rsidR="00FA18EF" w:rsidRPr="00FA18EF" w:rsidRDefault="0036646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Зокрема: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- прес-брифінг в обласній </w:t>
            </w:r>
            <w:r w:rsidRPr="00FA1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державній адміністрації «Проведення в області Всеукраїнської акції «16 днів проти насильства»;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- засідання дорадчих органів, засідання «за круглим столом», дискусії з обговоренням проблеми насильства, навчальні семінари та тренінги; 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>- інформаційно-просвітницька кампанія в соціальних мережах «Ми проти насильства!»;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A18EF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 «Діти проти насилля!»;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>- тематичні виставки літератури та методичних матеріалів з питань запобігання домашньому насильству в бібліотечних закладах;</w:t>
            </w:r>
          </w:p>
          <w:p w:rsidR="00FA18EF" w:rsidRPr="00FA18EF" w:rsidRDefault="00FA18E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18EF">
              <w:rPr>
                <w:rFonts w:ascii="Times New Roman" w:hAnsi="Times New Roman" w:cs="Times New Roman"/>
                <w:sz w:val="24"/>
                <w:szCs w:val="24"/>
              </w:rPr>
              <w:t>- конкурси малюнків, фотовиставки серед дітей шкільного віку на теми: «Права дитини», «Ми проти насильства», «Скажи насильству: Ні!», «Ні! Насильству в сім’ї».</w:t>
            </w:r>
          </w:p>
          <w:p w:rsidR="00E41B1E" w:rsidRPr="00887CE8" w:rsidRDefault="0036646F" w:rsidP="00FA18E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Інформаційно-просвітницькими та комунікативними заходами у рамках акції охоплено більше 22 тис. осіб та розповсюджено понад 1,5 тис. різних </w:t>
            </w:r>
            <w:proofErr w:type="spellStart"/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роздаткових</w:t>
            </w:r>
            <w:proofErr w:type="spellEnd"/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 друкованих матеріалів.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62" w:type="dxa"/>
            <w:shd w:val="clear" w:color="auto" w:fill="auto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Проведення  заходів соціальної, інформаційної, матеріальної підтримки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багатодітних  сімей  з числа ВПО, а також благодійних акцій, культурологічних та спортивних заходів</w:t>
            </w:r>
          </w:p>
        </w:tc>
        <w:tc>
          <w:tcPr>
            <w:tcW w:w="1418" w:type="dxa"/>
            <w:shd w:val="clear" w:color="auto" w:fill="auto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>Департамент сім’ї, молоді та спорту облдержадміністрації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  <w:shd w:val="clear" w:color="auto" w:fill="auto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  <w:shd w:val="clear" w:color="auto" w:fill="auto"/>
          </w:tcPr>
          <w:p w:rsidR="00FA18EF" w:rsidRPr="00FA18EF" w:rsidRDefault="0036646F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єдиного обліку багатодітних сімей станом на 01.07.2024 в області проживає 6826 сім’ї, в них 22246 дітей. Пільгами з оплати житлово-комунальних послуг станом на 01.07.2024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скористалися 365 багатодітних сімей, пільгами на придбання твердого палива та скрапленого газу готівкою – 515, 50% знижку абонентної плати за користування телефоном отримали 5 сімей.</w:t>
            </w:r>
          </w:p>
          <w:p w:rsidR="00E41B1E" w:rsidRPr="00887CE8" w:rsidRDefault="0036646F" w:rsidP="00FA18E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Протягом I півріччя 2024 року близько 4101 багатодітних сім’ї звільнено від оплати за харчування дітей в загальноосвітніх закладах області, у 2276 сім’ях діти мали змогу безкоштовно відвідати різноманітні гуртки та секції, 1982 сім’ї отримали гуманітарну допомогу, 1160 – продуктові набори.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Забезпечення багатодітних сімей області  з числа ВПО посвідченнями батьків багатодітної сім’ї  та посвідченнями дитини з багатодітної сім’ї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Департамент сім’ї, молоді та спорту облдержадміністрації,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t>Районні військові адміністрації,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Міські, селищні, сільські ради (за згодою)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887CE8" w:rsidRDefault="0036646F" w:rsidP="00FA18E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Відповідно до чинного законодавства багатодітні сім’ї області забезпечуються посвідченнями батьків та дітей з багатодітної сім’ї</w:t>
            </w:r>
            <w:r w:rsidR="00FA1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A18EF" w:rsidRPr="00FA1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Станом на 01.07.2024 в Чернігівській області видано 855 посвідчення батьків багатодітної сім’ї та 2202 посвідченн</w:t>
            </w:r>
            <w:r w:rsidR="00FA1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 дитини з багатодітної сім’ї. У серпні-вересні </w:t>
            </w:r>
            <w:r w:rsidR="00FA18EF" w:rsidRPr="00FA1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2024 року за кошти обласного бюджету Департаментом сім’ї, молоді та спорту Чернігівської обласної державної адміністрації було забезпечено виготовлення бланків посвідчення батьків багатодітної сім’ї в кількості 800 шт. та посвідчення дитини з багатодітної </w:t>
            </w:r>
            <w:r w:rsidR="00FA18EF" w:rsidRPr="00FA1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сім’ї в кількості 1600 шт.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Проведення майстер-класів для підтримки заходів з соціальної адаптації осіб з числа ВПО </w:t>
            </w:r>
          </w:p>
          <w:p w:rsidR="00E41B1E" w:rsidRPr="00E41B1E" w:rsidRDefault="00E41B1E" w:rsidP="00964674">
            <w:pPr>
              <w:autoSpaceDN w:val="0"/>
              <w:ind w:left="34"/>
              <w:contextualSpacing/>
              <w:rPr>
                <w:rFonts w:ascii="Times New Roman" w:eastAsia="Calibri" w:hAnsi="Times New Roman" w:cs="Times New Roman"/>
              </w:rPr>
            </w:pP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Департамент культури і туризму, національностей та релігій облдержадміністрації, Чернігівський обласний художній музей імені Григорія Галагана (за згодою), 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4A43AE" w:rsidRPr="004A43AE" w:rsidRDefault="0036646F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="004A43AE"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Залучено 35 осіб ВПО,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проведено 10 майстер-класів, а саме: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 виготовлення патріотичного браслета (спільно з Чернігівським обласним центром народної творчості;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 ліплення пасхальної фігурки;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 виготовлення квітки маку;</w:t>
            </w:r>
          </w:p>
          <w:p w:rsidR="00E41B1E" w:rsidRPr="00887CE8" w:rsidRDefault="004A43AE" w:rsidP="004A43AE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 Петриківського, Подільського,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Самчиківського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Слобожанського, Таврійського, Київського,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Косівського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Кримськотатарського декоративних розписів.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Сприяння у проведенні заходів, організованих громадськими організаціями для осіб з числа ВПО</w:t>
            </w: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Департаменти облдержадміністрації: культури і туризму, національностей та релігій; соціального захисту населення, 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Чернігівський обласний художній музей імені Григорія Галагана (за згодою),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4A43AE" w:rsidRPr="004A43AE" w:rsidRDefault="0036646F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="004A43AE"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Залучено 95 осіб ВПО,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проведено 7 заходів, 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 саме: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екскурсія по виставках мистецького проекту «Скорботний шлях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Бахмута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 для дітей дитячо-підліткового клубу «Крила»</w:t>
            </w:r>
            <w:r w:rsidRPr="004A43A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сприяння Регіональної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координаторки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 «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KpимSOS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 Л.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Мульованої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); 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 екскурсії для групи членів родин військовослужбовців та ВПО (спільно з ГО БФ «Захистимо Україну»);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кінопоказ стрічки «Опале листя/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Kuolleet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Lehdet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Fallen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reaves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)» (спільно з кіноклубом «Ілюзіон» та ГО «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ЧеСтудія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»);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відкриття виставки музейного комплексу «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Добрянець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відкриття фотовиставки «Зберігаємо надію вдалині від дому» (до 30-річчя діяльності Управління Верховного комісара Організації Об’єднаних Націй у справах біженців в Україні) ;</w:t>
            </w:r>
          </w:p>
          <w:p w:rsidR="00E41B1E" w:rsidRPr="00887CE8" w:rsidRDefault="004A43AE" w:rsidP="004A43AE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відкриття виставки за результатами обласного конкурсу «Чернігівщина туристична очима дітей».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Сприяння у відвідуванні  родинами з числа ВПО обласного художнього музею  імені Григорія Галагана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Департамент культури і туризму, національностей та релігій облдержадміністрації, 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Чернігівський обласний художній музей імені Григорія Галагана (за згодою),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4A43AE" w:rsidRDefault="0036646F" w:rsidP="004A43AE">
            <w:pPr>
              <w:spacing w:line="21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="004A43AE"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Залучено  63 особи ВПО,</w:t>
            </w:r>
          </w:p>
          <w:p w:rsidR="004A43AE" w:rsidRPr="004A43AE" w:rsidRDefault="004A43AE" w:rsidP="004A43AE">
            <w:pPr>
              <w:spacing w:line="21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музей сприяв відвідуванню родинами з числа ВПО 9 заходів, а саме: 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концертної програми «Літературно-музична Чернігівщина» капели бандуристів імені Остапа Вересая Чернігівського обласного філармонійного центру фестивалів і концертних програм;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відкриття виставки «Творчі люди від 0 до 100+» художніх та проектних робіт викладачів кафедри архітектури та дизайну Навчально-наукового інституту інженерії, виробництва та будівництва Національного університету «Чернігівська політехніка»;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відкриття виставки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фоторобіт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Олексія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Самойленка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«Історія України»;</w:t>
            </w:r>
          </w:p>
          <w:p w:rsidR="004A43AE" w:rsidRPr="004A43AE" w:rsidRDefault="004A43AE" w:rsidP="004A43AE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«Творчий вечір студентської молоді Чернігова» (організатор БО «БФ «ВОЛОНТЕРИ ПІВНІЧ»;</w:t>
            </w:r>
          </w:p>
          <w:p w:rsidR="004A43AE" w:rsidRPr="004A43AE" w:rsidRDefault="004A43AE" w:rsidP="0012557A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зустріч з нагоди відкриття виставки «Грані великого таланту. До 100-річчя Анатолія Шкурка» (спільно з Чернігівською обласною організацією ветеранів України;</w:t>
            </w:r>
          </w:p>
          <w:p w:rsidR="004A43AE" w:rsidRPr="004A43AE" w:rsidRDefault="004A43AE" w:rsidP="0012557A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лекція-бесіда «Художники про </w:t>
            </w: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Ма</w:t>
            </w:r>
            <w:r w:rsidR="00125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йдан» до Дня Гідності і Свободи</w:t>
            </w: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4A43AE" w:rsidRPr="004A43AE" w:rsidRDefault="004A43AE" w:rsidP="0012557A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відкриття виставки живопису «Укра</w:t>
            </w:r>
            <w:r w:rsidR="00125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їнці, які творять свою Державу»</w:t>
            </w: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;</w:t>
            </w:r>
          </w:p>
          <w:p w:rsidR="004A43AE" w:rsidRPr="004A43AE" w:rsidRDefault="004A43AE" w:rsidP="0012557A">
            <w:pPr>
              <w:spacing w:line="216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відкриття виставки робіт викладачів та студентів відокремленого структурного підрозділу «Чернігівський фаховий коледж інженерії та дизайну Київського національного університету технологій та дизайну» «Творчий калейдоскоп»;</w:t>
            </w:r>
          </w:p>
          <w:p w:rsidR="00E41B1E" w:rsidRPr="00887CE8" w:rsidRDefault="004A43AE" w:rsidP="0012557A">
            <w:pPr>
              <w:spacing w:line="216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тематичний захід «Михайло </w:t>
            </w:r>
            <w:proofErr w:type="spellStart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Дерегус</w:t>
            </w:r>
            <w:proofErr w:type="spellEnd"/>
            <w:r w:rsidRPr="004A43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і його послідовники».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Організація проведення екскурсій по обласному історичному музею                             ім. В.В. Тарновського  та по місту, які організовані громадськими організаціями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Департамент культури і туризму, національностей та релігій облдержадміністрації, 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Чернігівський обласний історичний музей ім. В.В. Тарновського (за згодою),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12557A" w:rsidRPr="0012557A" w:rsidRDefault="0036646F" w:rsidP="0012557A">
            <w:pPr>
              <w:spacing w:line="216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="0012557A" w:rsidRPr="00125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Залучено 90 осіб ВПО,</w:t>
            </w:r>
          </w:p>
          <w:p w:rsidR="0012557A" w:rsidRPr="0012557A" w:rsidRDefault="0012557A" w:rsidP="0012557A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2557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проведено 2 екскурсії по музею та території Валу, які організовані згідно з листами-зверненнями від БФ «Голоси дітей» та БФ «Рокада».</w:t>
            </w:r>
          </w:p>
          <w:p w:rsidR="0012557A" w:rsidRPr="0012557A" w:rsidRDefault="0012557A" w:rsidP="001255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E41B1E" w:rsidRPr="0012557A" w:rsidRDefault="00E41B1E" w:rsidP="0012557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11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Забезпечення надання освітніх послуг у закладах дошкільної,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загальної середньої освіти для дітей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Управління освіти і науки облдержадміністрації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Міські,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селищні, сільські ради (за згодою)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794D79" w:rsidRPr="00794D79" w:rsidRDefault="00794D79" w:rsidP="00794D79">
            <w:pPr>
              <w:spacing w:line="216" w:lineRule="auto"/>
              <w:ind w:firstLine="46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Станом на 01 січня 2025 року в закладах загальної середньої освіти області навчається 2996 учнів з числа внутрішньо переміщених осіб. У закладах дошкільної освіти здобувають освіту 773 дитини </w:t>
            </w:r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lastRenderedPageBreak/>
              <w:t>зазначеної категорії.</w:t>
            </w:r>
          </w:p>
          <w:p w:rsidR="00E41B1E" w:rsidRPr="00887CE8" w:rsidRDefault="00794D79" w:rsidP="00794D79">
            <w:pPr>
              <w:spacing w:line="216" w:lineRule="auto"/>
              <w:ind w:firstLine="46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Рівень забезпечення осіб з числа ВПО правом на освіту становить 100%.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Забезпечення здобуття робітничих професій у закладах професійної (професійно-технічної) освіти, в тому числі безробітними особами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Управління освіти і науки облдержадміністрації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Обласний центр зайнятості (за згодою)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  <w:vAlign w:val="center"/>
          </w:tcPr>
          <w:p w:rsidR="00794D79" w:rsidRPr="00794D79" w:rsidRDefault="00794D79" w:rsidP="00794D79">
            <w:pPr>
              <w:spacing w:line="216" w:lineRule="auto"/>
              <w:ind w:firstLine="460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У 2024/2025 навчальному році в закладах професійної (професійно-технічної) освіти здобувають робітничі професії 206 учнів із числа внутрішньо переміщених осіб. </w:t>
            </w:r>
          </w:p>
          <w:p w:rsidR="00794D79" w:rsidRPr="00794D79" w:rsidRDefault="00794D79" w:rsidP="00794D79">
            <w:pPr>
              <w:spacing w:line="216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Упродовж 2024 року ЗПТО підготовлено 1373 особи із числа дорослого населення. Зокрема, за направленням обласного центру зайнятості набули професійних кваліфікацій 287 осіб, із них 194 – за ваучерами на освіту.</w:t>
            </w:r>
          </w:p>
          <w:p w:rsidR="00A97E64" w:rsidRPr="00A97E64" w:rsidRDefault="00A97E64" w:rsidP="00A97E64">
            <w:pPr>
              <w:pStyle w:val="rvps12"/>
              <w:spacing w:before="0" w:beforeAutospacing="0" w:after="0" w:afterAutospacing="0"/>
              <w:ind w:left="23" w:firstLine="284"/>
              <w:jc w:val="both"/>
              <w:textAlignment w:val="baseline"/>
              <w:rPr>
                <w:spacing w:val="-4"/>
                <w:lang w:val="uk-UA"/>
              </w:rPr>
            </w:pPr>
            <w:r w:rsidRPr="00A97E64">
              <w:rPr>
                <w:spacing w:val="-4"/>
                <w:lang w:val="uk-UA"/>
              </w:rPr>
              <w:t xml:space="preserve">Впродовж  2024 року в Чернігівській обласній службі зайнятості в статусі зареєстрованих безробітних перебувало 1378 внутрішньо переміщених осіб, з них 1334 безробітні особи отримали 4163 профорієнтаційні  послуги, з них 2875 </w:t>
            </w:r>
            <w:proofErr w:type="spellStart"/>
            <w:r w:rsidRPr="00A97E64">
              <w:rPr>
                <w:spacing w:val="-4"/>
                <w:lang w:val="uk-UA"/>
              </w:rPr>
              <w:t>профінформаційних</w:t>
            </w:r>
            <w:proofErr w:type="spellEnd"/>
            <w:r w:rsidRPr="00A97E64">
              <w:rPr>
                <w:spacing w:val="-4"/>
                <w:lang w:val="uk-UA"/>
              </w:rPr>
              <w:t xml:space="preserve">, 1277 </w:t>
            </w:r>
            <w:proofErr w:type="spellStart"/>
            <w:r w:rsidRPr="00A97E64">
              <w:rPr>
                <w:spacing w:val="-4"/>
                <w:lang w:val="uk-UA"/>
              </w:rPr>
              <w:t>профконсультаційних</w:t>
            </w:r>
            <w:proofErr w:type="spellEnd"/>
            <w:r w:rsidRPr="00A97E64">
              <w:rPr>
                <w:spacing w:val="-4"/>
                <w:lang w:val="uk-UA"/>
              </w:rPr>
              <w:t xml:space="preserve">, в тому числі 27 консультації із застосуванням </w:t>
            </w:r>
            <w:proofErr w:type="spellStart"/>
            <w:r w:rsidRPr="00A97E64">
              <w:rPr>
                <w:spacing w:val="-4"/>
                <w:lang w:val="uk-UA"/>
              </w:rPr>
              <w:t>психодіагностичного</w:t>
            </w:r>
            <w:proofErr w:type="spellEnd"/>
            <w:r w:rsidRPr="00A97E64">
              <w:rPr>
                <w:spacing w:val="-4"/>
                <w:lang w:val="uk-UA"/>
              </w:rPr>
              <w:t xml:space="preserve"> тестування, 11 послуг з профвідбору. </w:t>
            </w:r>
          </w:p>
          <w:p w:rsidR="00A97E64" w:rsidRPr="00A97E64" w:rsidRDefault="00A97E64" w:rsidP="00A97E64">
            <w:pPr>
              <w:pStyle w:val="rvps12"/>
              <w:spacing w:before="0" w:beforeAutospacing="0" w:after="0" w:afterAutospacing="0"/>
              <w:ind w:left="23" w:firstLine="284"/>
              <w:jc w:val="both"/>
              <w:textAlignment w:val="baseline"/>
              <w:rPr>
                <w:spacing w:val="-4"/>
                <w:lang w:val="uk-UA"/>
              </w:rPr>
            </w:pPr>
            <w:r w:rsidRPr="00A97E64">
              <w:rPr>
                <w:spacing w:val="-4"/>
                <w:lang w:val="uk-UA"/>
              </w:rPr>
              <w:t xml:space="preserve">Зокрема, 919 безробітних осіб цієї категорії взяли участь в різноманітних профорієнтаційних заходах служби зайнятості: 408 осіб - в тренінгах з техніки пошуку роботи, 285 - в тематичних семінарах для внутрішньо переміщених осіб, 225 - </w:t>
            </w:r>
            <w:r w:rsidRPr="00A97E64">
              <w:rPr>
                <w:spacing w:val="-4"/>
                <w:lang w:val="uk-UA"/>
              </w:rPr>
              <w:lastRenderedPageBreak/>
              <w:t>в тренінгах «Ментальне здоров’я», з цифрової грамотності, з розвитку навичок «</w:t>
            </w:r>
            <w:proofErr w:type="spellStart"/>
            <w:r w:rsidRPr="00A97E64">
              <w:rPr>
                <w:spacing w:val="-4"/>
                <w:lang w:val="uk-UA"/>
              </w:rPr>
              <w:t>soft</w:t>
            </w:r>
            <w:proofErr w:type="spellEnd"/>
            <w:r w:rsidRPr="00A97E64">
              <w:rPr>
                <w:spacing w:val="-4"/>
                <w:lang w:val="uk-UA"/>
              </w:rPr>
              <w:t xml:space="preserve"> </w:t>
            </w:r>
            <w:proofErr w:type="spellStart"/>
            <w:r w:rsidRPr="00A97E64">
              <w:rPr>
                <w:spacing w:val="-4"/>
                <w:lang w:val="uk-UA"/>
              </w:rPr>
              <w:t>skills</w:t>
            </w:r>
            <w:proofErr w:type="spellEnd"/>
            <w:r w:rsidRPr="00A97E64">
              <w:rPr>
                <w:spacing w:val="-4"/>
                <w:lang w:val="uk-UA"/>
              </w:rPr>
              <w:t>», з побудови кар’єри, 231 - в консультаціях зі участю соціальних партнерів служби зайнятості, 148 - в ярмарках вакансій, 144 – в презентаціях роботодавців, 42 - в презентаціях послуг з професійного навчання, 772 - в інформаційних семінарах із загальних питань зайнятості, 94 – в семінарах з попередження нелегальної зайнятості тощо.</w:t>
            </w:r>
          </w:p>
          <w:p w:rsidR="00A97E64" w:rsidRPr="00A97E64" w:rsidRDefault="00A97E64" w:rsidP="0036646F">
            <w:pPr>
              <w:pStyle w:val="rvps12"/>
              <w:spacing w:before="0" w:beforeAutospacing="0" w:after="0" w:afterAutospacing="0"/>
              <w:ind w:left="23"/>
              <w:jc w:val="both"/>
              <w:textAlignment w:val="baseline"/>
              <w:rPr>
                <w:spacing w:val="-4"/>
                <w:lang w:val="uk-UA"/>
              </w:rPr>
            </w:pPr>
            <w:r w:rsidRPr="00A97E64">
              <w:rPr>
                <w:spacing w:val="-4"/>
                <w:lang w:val="uk-UA"/>
              </w:rPr>
              <w:t xml:space="preserve">Крім того, 243 внутрішньо переміщені особи, які не мали статусу безробітного, отримали 271 профорієнтаційну послугу, з них 235 </w:t>
            </w:r>
            <w:proofErr w:type="spellStart"/>
            <w:r w:rsidRPr="00A97E64">
              <w:rPr>
                <w:spacing w:val="-4"/>
                <w:lang w:val="uk-UA"/>
              </w:rPr>
              <w:t>профінформаційних</w:t>
            </w:r>
            <w:proofErr w:type="spellEnd"/>
            <w:r w:rsidRPr="00A97E64">
              <w:rPr>
                <w:spacing w:val="-4"/>
                <w:lang w:val="uk-UA"/>
              </w:rPr>
              <w:t xml:space="preserve">  та 36 </w:t>
            </w:r>
            <w:proofErr w:type="spellStart"/>
            <w:r w:rsidRPr="00A97E64">
              <w:rPr>
                <w:spacing w:val="-4"/>
                <w:lang w:val="uk-UA"/>
              </w:rPr>
              <w:t>профконсультаційних</w:t>
            </w:r>
            <w:proofErr w:type="spellEnd"/>
            <w:r w:rsidRPr="00A97E64">
              <w:rPr>
                <w:spacing w:val="-4"/>
                <w:lang w:val="uk-UA"/>
              </w:rPr>
              <w:t xml:space="preserve">. </w:t>
            </w:r>
          </w:p>
          <w:p w:rsidR="00A97E64" w:rsidRPr="00A97E64" w:rsidRDefault="0036646F" w:rsidP="00A97E64">
            <w:pPr>
              <w:ind w:left="23"/>
              <w:jc w:val="both"/>
              <w:textAlignment w:val="baseline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</w:t>
            </w:r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2024 рік 73 особи було скеровано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 професійне навчання за затребуваними на місцевому ринку праці професіями (спеціальностями) під замовлення роботодавців. Зокрема, безробітні ВПО навчалися за такими професіями/спеціальностями: соціальний робітник, кухар, касир, продавець, сушильник, кочегар, інженер-конструктор, адміністратор, лікар-стоматолог, тракторист-машиніст, слюсар-ремонтник, водій, бухгалтер, юрист, офіціант, кондитер тощо.</w:t>
            </w:r>
          </w:p>
          <w:p w:rsidR="00E41B1E" w:rsidRPr="00887CE8" w:rsidRDefault="00E41B1E" w:rsidP="00A97E64">
            <w:pPr>
              <w:ind w:left="23"/>
              <w:jc w:val="both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Сприяння у роботі освітніх центрів "Крим-Україна", "Донбас-Україна" на базі Національних університетів Чернігівської області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Управління освіти і науки облдержадміністрації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794D79" w:rsidRDefault="0036646F" w:rsidP="0036646F">
            <w:pPr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4D79" w:rsidRPr="00794D79">
              <w:rPr>
                <w:rFonts w:ascii="Times New Roman" w:hAnsi="Times New Roman" w:cs="Times New Roman"/>
                <w:sz w:val="24"/>
                <w:szCs w:val="24"/>
              </w:rPr>
              <w:t>Під час вступної кампанії проводиться інформаційно-роз’яснювальна робота з метою підвищення рівня обізнаності абітурієнтів з числа внутрішньо переміщених осіб щодо спеціальних умов вступу до закладів освіти, інших освітніх можливостей, які можна отримати в освітніх центрах «Донбас-Україна» та «Крим-Україна», що функціонують на базі закладів вищої освіти області.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14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Забезпечення надання освітніх послуг у закладах вищої, фахової </w:t>
            </w:r>
            <w:proofErr w:type="spellStart"/>
            <w:r w:rsidRPr="00E41B1E">
              <w:rPr>
                <w:rFonts w:ascii="Times New Roman" w:eastAsia="Calibri" w:hAnsi="Times New Roman" w:cs="Times New Roman"/>
              </w:rPr>
              <w:t>передвищої</w:t>
            </w:r>
            <w:proofErr w:type="spellEnd"/>
            <w:r w:rsidRPr="00E41B1E">
              <w:rPr>
                <w:rFonts w:ascii="Times New Roman" w:eastAsia="Calibri" w:hAnsi="Times New Roman" w:cs="Times New Roman"/>
              </w:rPr>
              <w:t xml:space="preserve"> освіти, в тому числі особам, які отримали у службі зайнятості ваучер для підвищення </w:t>
            </w:r>
            <w:proofErr w:type="spellStart"/>
            <w:r w:rsidRPr="00E41B1E">
              <w:rPr>
                <w:rFonts w:ascii="Times New Roman" w:eastAsia="Calibri" w:hAnsi="Times New Roman" w:cs="Times New Roman"/>
              </w:rPr>
              <w:t>конкурентноспроможності</w:t>
            </w:r>
            <w:proofErr w:type="spellEnd"/>
            <w:r w:rsidRPr="00E41B1E">
              <w:rPr>
                <w:rFonts w:ascii="Times New Roman" w:eastAsia="Calibri" w:hAnsi="Times New Roman" w:cs="Times New Roman"/>
              </w:rPr>
              <w:t xml:space="preserve"> на ринку праці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Управління освіти і науки облдержадміністрації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Обласний центр зайнятості (за згодою)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942" w:type="dxa"/>
            <w:vAlign w:val="center"/>
          </w:tcPr>
          <w:p w:rsidR="00794D79" w:rsidRDefault="00794D79" w:rsidP="00794D79">
            <w:pPr>
              <w:spacing w:line="216" w:lineRule="auto"/>
              <w:ind w:firstLine="460"/>
              <w:jc w:val="both"/>
              <w:rPr>
                <w:color w:val="000000" w:themeColor="text1"/>
                <w:spacing w:val="-4"/>
              </w:rPr>
            </w:pPr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У закладах вищої та фахової </w:t>
            </w:r>
            <w:proofErr w:type="spellStart"/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передвищої</w:t>
            </w:r>
            <w:proofErr w:type="spellEnd"/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освіти області передбачено можливість отримання ступеневої освіти за напрямами підготовки для різних категорій студентів, у тому числі внутрішньо переміщених осіб які отримали у службі зайнятості ваучер для підвищення </w:t>
            </w:r>
            <w:proofErr w:type="spellStart"/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конкурентноспромож-ності</w:t>
            </w:r>
            <w:proofErr w:type="spellEnd"/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на ринку праці.. У 2024/2025 навчальному році у закладах вищої освіти області здобувають освіту 307 внутрішньо переміщених осіб, у закладах фахової </w:t>
            </w:r>
            <w:proofErr w:type="spellStart"/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передвищої</w:t>
            </w:r>
            <w:proofErr w:type="spellEnd"/>
            <w:r w:rsidRPr="00794D7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освіти 156 внутрішньо переміщені осіб.</w:t>
            </w:r>
          </w:p>
          <w:p w:rsidR="00E41B1E" w:rsidRPr="00887CE8" w:rsidRDefault="0036646F" w:rsidP="00A97E64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A97E64" w:rsidRPr="00A97E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 2024 рік видано 41 ваучер для підвищення конкурентоздатності громадян віком 45+ років з числа ВПО за такими професіями - кухар, маляр, електромонтер</w:t>
            </w:r>
            <w:r w:rsidR="00A97E64" w:rsidRPr="00A97E64">
              <w:rPr>
                <w:sz w:val="24"/>
                <w:szCs w:val="24"/>
              </w:rPr>
              <w:t xml:space="preserve"> </w:t>
            </w:r>
            <w:r w:rsidR="00A97E64" w:rsidRPr="00A97E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ремонту та обслуговування електроустаткування, кондитер, верстатник, швачка, кочегар,  </w:t>
            </w:r>
            <w:r w:rsidR="00A97E64" w:rsidRPr="00A97E6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спеціальностями – психологія, дошкільна освіта, комп’ютерна інженерія, фармація.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Здійснення у закладах освіти психологічної діагностики, просвіти та інформування, психологічне консультування, психологічну та соціально-педагогічну підтримку і супровід учасників освітнього процесу, зокрема і осіб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Управління освіти і науки облдержадміністрації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794D79" w:rsidRPr="00794D79" w:rsidRDefault="00794D79" w:rsidP="00794D79">
            <w:pPr>
              <w:ind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2024 році постійно здійснювалося надання  соціально-психологічної підтримки учасникам освітнього процесу закладів освіти області, у тому числі особам з числа ВПО. До річних планів роботи працівників психологічної служби закладів освіти області включено заходи з надання психологічних послуг та здійснення соціального супроводу здобувачів освіти з числа внутрішньо переміщених осіб та членів їх родин. Практичними психологами і соціальними педагогами закладів освіти області здійснюється психологічна підтримка, проводяться тренінгові заняття зі здобувачами освіти щодо визначення почуттів, потреб, ресурсів і можливостей, корекція </w:t>
            </w:r>
            <w:proofErr w:type="spellStart"/>
            <w:r w:rsidRPr="00794D79">
              <w:rPr>
                <w:rFonts w:ascii="Times New Roman" w:eastAsia="Calibri" w:hAnsi="Times New Roman" w:cs="Times New Roman"/>
                <w:sz w:val="24"/>
                <w:szCs w:val="24"/>
              </w:rPr>
              <w:t>дезадаптації</w:t>
            </w:r>
            <w:proofErr w:type="spellEnd"/>
            <w:r w:rsidRPr="0079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кризових станів. </w:t>
            </w:r>
          </w:p>
          <w:p w:rsidR="00794D79" w:rsidRPr="00794D79" w:rsidRDefault="00794D79" w:rsidP="00794D79">
            <w:pPr>
              <w:ind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D79">
              <w:rPr>
                <w:rFonts w:ascii="Times New Roman" w:eastAsia="Calibri" w:hAnsi="Times New Roman" w:cs="Times New Roman"/>
                <w:sz w:val="24"/>
                <w:szCs w:val="24"/>
              </w:rPr>
              <w:t>Рівень надання психологічної, соціально-педагогічної підтримки учасникам освітнього процесу, зокрема особам з числа ВПО, становить 100%.</w:t>
            </w:r>
          </w:p>
          <w:p w:rsidR="00794D79" w:rsidRPr="00794D79" w:rsidRDefault="00794D79" w:rsidP="00794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sz w:val="24"/>
                <w:szCs w:val="24"/>
              </w:rPr>
              <w:t xml:space="preserve">        Студентська молодь залучається до реалізації наступних напрямів діяльності, а саме психологічної діагностики, </w:t>
            </w:r>
            <w:r w:rsidRPr="00794D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просвіти та інформування, психологічного консультування психологічної та соціально-педагогічної підтримки і супроводу учасників освітнього процесу, зокрема і осіб з числа ВПО.</w:t>
            </w:r>
          </w:p>
          <w:p w:rsidR="00794D79" w:rsidRPr="00794D79" w:rsidRDefault="00794D79" w:rsidP="00794D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sz w:val="24"/>
                <w:szCs w:val="24"/>
              </w:rPr>
              <w:t>Забезпечено:</w:t>
            </w:r>
          </w:p>
          <w:p w:rsidR="00794D79" w:rsidRPr="00794D79" w:rsidRDefault="00794D79" w:rsidP="00794D79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sz w:val="24"/>
                <w:szCs w:val="24"/>
              </w:rPr>
              <w:t xml:space="preserve">- надання соціальних послуг, спрямованих на адаптацію ВПО на початковому етапі після евакуації, зокрема, психологічної та гуманітарної допомоги; </w:t>
            </w:r>
          </w:p>
          <w:p w:rsidR="00794D79" w:rsidRPr="00794D79" w:rsidRDefault="00794D79" w:rsidP="00794D79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sz w:val="24"/>
                <w:szCs w:val="24"/>
              </w:rPr>
              <w:t>- здійснення систематичної професійної психологічної допомоги внутрішньо переміщеним особам, у тому числі дітям, зокрема в місцях компактного поселення внутрішньо переміщених осіб, зокрема, представниками організацій, центрів і груп на базі закладів вищої освіти («Час для нас», «Довіра», психологічна служба тощо).</w:t>
            </w:r>
          </w:p>
          <w:p w:rsidR="00E41B1E" w:rsidRPr="00887CE8" w:rsidRDefault="00794D79" w:rsidP="0036646F">
            <w:pPr>
              <w:ind w:firstLine="46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4D79">
              <w:rPr>
                <w:rFonts w:ascii="Times New Roman" w:hAnsi="Times New Roman" w:cs="Times New Roman"/>
                <w:sz w:val="24"/>
                <w:szCs w:val="24"/>
              </w:rPr>
              <w:t xml:space="preserve">Магістранти та викладачі закладів вищої освіти області,які здобули фахову психологічну освіту, залучаються до роботи створених мобільних медичних бригад для надання психологічної допомоги в громадах області, у яких розміщуються ВПО. 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  <w:t xml:space="preserve">Забезпечення роботи консультативного пункту з </w:t>
            </w:r>
            <w:r w:rsidRPr="00E41B1E"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  <w:lastRenderedPageBreak/>
              <w:t>надання</w:t>
            </w:r>
            <w:r w:rsidRPr="00E41B1E">
              <w:rPr>
                <w:rFonts w:ascii="Times New Roman" w:eastAsia="Calibri" w:hAnsi="Times New Roman" w:cs="Times New Roman"/>
                <w:lang w:eastAsia="uk-UA"/>
              </w:rPr>
              <w:t xml:space="preserve"> </w:t>
            </w:r>
            <w:r w:rsidRPr="00E41B1E"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  <w:t xml:space="preserve">психологічної допомоги для </w:t>
            </w:r>
            <w:r w:rsidRPr="00E41B1E">
              <w:rPr>
                <w:rFonts w:ascii="Times New Roman" w:eastAsia="Calibri" w:hAnsi="Times New Roman" w:cs="Times New Roman"/>
              </w:rPr>
              <w:t>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Управління освіти і науки </w:t>
            </w: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облдержадміністрації, 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Чернігівський обласний інститут післядипломної педагогічної освіти імені К.Д.Ушинського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  (за згодою)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794D79" w:rsidRPr="00794D79" w:rsidRDefault="00794D79" w:rsidP="00794D79">
            <w:pPr>
              <w:pStyle w:val="a4"/>
              <w:spacing w:before="0" w:beforeAutospacing="0" w:after="0" w:afterAutospacing="0"/>
              <w:ind w:firstLine="460"/>
              <w:jc w:val="both"/>
              <w:rPr>
                <w:lang w:val="uk-UA"/>
              </w:rPr>
            </w:pPr>
            <w:r w:rsidRPr="00794D79">
              <w:rPr>
                <w:lang w:val="uk-UA"/>
              </w:rPr>
              <w:t xml:space="preserve">На базі Навчально-методичного центру психологічної служби у системі освіти </w:t>
            </w:r>
            <w:r w:rsidRPr="00794D79">
              <w:rPr>
                <w:lang w:val="uk-UA"/>
              </w:rPr>
              <w:lastRenderedPageBreak/>
              <w:t>Чернігівської області</w:t>
            </w:r>
            <w:r>
              <w:rPr>
                <w:lang w:val="uk-UA"/>
              </w:rPr>
              <w:t xml:space="preserve"> </w:t>
            </w:r>
            <w:r w:rsidRPr="00794D79">
              <w:rPr>
                <w:lang w:val="uk-UA"/>
              </w:rPr>
              <w:t>Чернігівського обласного інституту післядипломної педагогічної освіти імені К.Д.</w:t>
            </w:r>
            <w:r w:rsidRPr="00794D79">
              <w:t> </w:t>
            </w:r>
            <w:r w:rsidRPr="00794D79">
              <w:rPr>
                <w:lang w:val="uk-UA"/>
              </w:rPr>
              <w:t>Ушинського забезпечено роботу консультативного пункту з надання психологічної допомоги учасникам освітнього процесу, зокрема з числа   внутрішньо переміщених осіб (діти, дорослі), які знаходяться у кризовому стані.</w:t>
            </w:r>
          </w:p>
          <w:p w:rsidR="00E41B1E" w:rsidRPr="00887CE8" w:rsidRDefault="00794D79" w:rsidP="00794D79">
            <w:pPr>
              <w:pStyle w:val="a4"/>
              <w:spacing w:before="0" w:beforeAutospacing="0" w:after="0" w:afterAutospacing="0"/>
              <w:ind w:firstLine="460"/>
              <w:jc w:val="both"/>
              <w:rPr>
                <w:color w:val="FF0000"/>
              </w:rPr>
            </w:pPr>
            <w:r w:rsidRPr="00794D79">
              <w:rPr>
                <w:lang w:val="uk-UA"/>
              </w:rPr>
              <w:t>У 2024 році проведено 176 консультацій.</w:t>
            </w:r>
            <w:r>
              <w:rPr>
                <w:lang w:val="uk-UA"/>
              </w:rPr>
              <w:t xml:space="preserve"> </w:t>
            </w:r>
            <w:r w:rsidRPr="00794D79">
              <w:rPr>
                <w:lang w:val="uk-UA"/>
              </w:rPr>
              <w:t>Рівень забезпечення психологічного супроводу осіб з числа ВПО становить 100%.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Забезпечення отримання особами з числа ВПО дублікатів документів про здобуття базової середньої та повної загальної середньої освіти, отриманих на територіях які є тимчасово окупованими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Управління освіти і науки облдержадміністрації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794D79" w:rsidRPr="00794D79" w:rsidRDefault="00794D79" w:rsidP="00794D79">
            <w:pPr>
              <w:ind w:firstLine="4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D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Протягом 2024 року було замовлено, виготовлено та видано особам з числа ВПО 3 дублікати документів про </w:t>
            </w:r>
            <w:r w:rsidRPr="00794D7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здобуття базової середньої та повної загальної середньої освіти.</w:t>
            </w:r>
          </w:p>
          <w:p w:rsidR="00E41B1E" w:rsidRPr="00887CE8" w:rsidRDefault="00794D79" w:rsidP="00794D79">
            <w:pPr>
              <w:ind w:firstLine="46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94D79">
              <w:rPr>
                <w:rFonts w:ascii="Times New Roman" w:eastAsia="Calibri" w:hAnsi="Times New Roman" w:cs="Times New Roman"/>
                <w:sz w:val="24"/>
                <w:szCs w:val="24"/>
              </w:rPr>
              <w:t>Рівень забезпечення отримання дублікатів про освіту особами з числа ВПО становить 100%.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Проведення семінарів, нарад та інших заходів з питань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розвитку сільських територій та грантової підтримки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агропромислового розвитку </w:t>
            </w: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облдержадміністрації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887CE8" w:rsidRDefault="0036646F" w:rsidP="00876B6A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76B6A" w:rsidRPr="00876B6A">
              <w:rPr>
                <w:rFonts w:ascii="Times New Roman" w:hAnsi="Times New Roman" w:cs="Times New Roman"/>
                <w:sz w:val="24"/>
                <w:szCs w:val="24"/>
              </w:rPr>
              <w:t xml:space="preserve">З метою підтримки розвитку </w:t>
            </w:r>
            <w:proofErr w:type="spellStart"/>
            <w:r w:rsidR="00876B6A" w:rsidRPr="00876B6A"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proofErr w:type="spellEnd"/>
            <w:r w:rsidR="00876B6A" w:rsidRPr="00876B6A">
              <w:rPr>
                <w:rFonts w:ascii="Times New Roman" w:hAnsi="Times New Roman" w:cs="Times New Roman"/>
                <w:sz w:val="24"/>
                <w:szCs w:val="24"/>
              </w:rPr>
              <w:t xml:space="preserve">, малого та середнього підприємництва в сільськогосподарській та переробній галузях Чернігівської </w:t>
            </w:r>
            <w:r w:rsidR="00876B6A" w:rsidRPr="00876B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області, а також підвищення ділової активності у сільській місцевості та поінформованості сільського населення області, в тому числі ВПО, щодо грантової підтримки сільського господарства, фермерства, кооперації та інших питань ведення господарської діяльності протягом 2024 року проведено 10 тематичних заходів, в яких прийняли участь понад 130 осіб.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Інформування осіб з числа ВПО про можливість отримання </w:t>
            </w:r>
            <w:proofErr w:type="spellStart"/>
            <w:r w:rsidRPr="00E41B1E">
              <w:rPr>
                <w:rFonts w:ascii="Times New Roman" w:eastAsia="Calibri" w:hAnsi="Times New Roman" w:cs="Times New Roman"/>
              </w:rPr>
              <w:t>мікрогрантів</w:t>
            </w:r>
            <w:proofErr w:type="spellEnd"/>
            <w:r w:rsidRPr="00E41B1E">
              <w:rPr>
                <w:rFonts w:ascii="Times New Roman" w:eastAsia="Calibri" w:hAnsi="Times New Roman" w:cs="Times New Roman"/>
              </w:rPr>
              <w:t xml:space="preserve"> на створення або розвиток власного бізнесу, забезпечення розгляду заяв та бізнес-планів претендентів на отримання </w:t>
            </w:r>
            <w:proofErr w:type="spellStart"/>
            <w:r w:rsidRPr="00E41B1E">
              <w:rPr>
                <w:rFonts w:ascii="Times New Roman" w:eastAsia="Calibri" w:hAnsi="Times New Roman" w:cs="Times New Roman"/>
              </w:rPr>
              <w:t>мікрогрантів</w:t>
            </w:r>
            <w:proofErr w:type="spellEnd"/>
            <w:r w:rsidRPr="00E41B1E">
              <w:rPr>
                <w:rFonts w:ascii="Times New Roman" w:eastAsia="Calibri" w:hAnsi="Times New Roman" w:cs="Times New Roman"/>
              </w:rPr>
              <w:t xml:space="preserve">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Обласний центр зайнятості (за згодою)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  <w:vAlign w:val="center"/>
          </w:tcPr>
          <w:p w:rsidR="00E41B1E" w:rsidRPr="0036646F" w:rsidRDefault="0036646F" w:rsidP="00A97E64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  </w:t>
            </w:r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Постановою Кабінету Міністрів України від 21 червня 2022 р. №738 затверджено «Порядок надання </w:t>
            </w:r>
            <w:proofErr w:type="spellStart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мікрогрантів</w:t>
            </w:r>
            <w:proofErr w:type="spellEnd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на створення або розвиток власного бізнесу». Надаються </w:t>
            </w:r>
            <w:proofErr w:type="spellStart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мікрогранти</w:t>
            </w:r>
            <w:proofErr w:type="spellEnd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розміром від 50 до 250 </w:t>
            </w:r>
            <w:proofErr w:type="spellStart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тис.грн</w:t>
            </w:r>
            <w:proofErr w:type="spellEnd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Обов’язковою умовою отримання </w:t>
            </w:r>
            <w:proofErr w:type="spellStart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мікрогранту</w:t>
            </w:r>
            <w:proofErr w:type="spellEnd"/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є створення нових робочих місць - мінімально 1 робоче місце (грант до 150 тис. грн.), 2 робочих місця (від 150 тис. грн.). Так, за 2024 рік позитивні рішення та виплати отримали 23 особи (суб’єктів господарювання) з числа внутрішньо переміщених осіб. Так, в області плануються відкритися або розширитися цех з прання килимів, заклади харчування, магазини ритуальних товарів, жіночої білизни, електроінструментів, товарів для дітей, квітів, штор, дитяча студія, </w:t>
            </w:r>
            <w:r w:rsidR="00A97E64" w:rsidRPr="0036646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автосервіс. В результаті планується ввести у дію 46 робочих місць.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Надання комплексної соціально-психологічної допомоги вихованцям центрів соціально-психологічної реабілітації дітей, в тому числі які мають статус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Служба у справах дітей облдержадміністрації,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887CE8" w:rsidRDefault="000462AF" w:rsidP="000462AF">
            <w:pPr>
              <w:tabs>
                <w:tab w:val="left" w:pos="4359"/>
              </w:tabs>
              <w:ind w:firstLine="213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462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підпорядкуванні Служби у справах дітей Чернігівської ОДА перебувають 3 центри соціально-психологічної реабілітації дітей. </w:t>
            </w:r>
            <w:r w:rsidRPr="000462AF">
              <w:rPr>
                <w:rFonts w:ascii="Times New Roman" w:hAnsi="Times New Roman" w:cs="Times New Roman"/>
                <w:sz w:val="24"/>
                <w:szCs w:val="24"/>
              </w:rPr>
              <w:t xml:space="preserve">Центри соціально-психологічної реабілітації дітей у м. Ніжині та </w:t>
            </w:r>
            <w:r w:rsidRPr="000462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</w:t>
            </w:r>
            <w:proofErr w:type="spellStart"/>
            <w:r w:rsidRPr="000462AF">
              <w:rPr>
                <w:rFonts w:ascii="Times New Roman" w:hAnsi="Times New Roman" w:cs="Times New Roman"/>
                <w:sz w:val="24"/>
                <w:szCs w:val="24"/>
              </w:rPr>
              <w:t>Хмільниця</w:t>
            </w:r>
            <w:proofErr w:type="spellEnd"/>
            <w:r w:rsidRPr="000462AF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Чернігівського району працюють у штатному режимі, де зараз отримують допомогу</w:t>
            </w:r>
            <w:r w:rsidRPr="00046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462AF">
              <w:rPr>
                <w:rFonts w:ascii="Times New Roman" w:hAnsi="Times New Roman" w:cs="Times New Roman"/>
                <w:sz w:val="24"/>
                <w:szCs w:val="24"/>
              </w:rPr>
              <w:t>36 вихованців.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62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Всього протягом 2024 року  в межах цих закладів соціально-психологічну допомогу надано 126 дітям. Діти з числа внутрішньо переміщених осіб до закладів не поміщались.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21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Забезпечення проведення інформаційно-роз’яснювальної роботи серед осіб з числа ВПО з питань підтримки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t xml:space="preserve">Департамент соціального захисту населення облдержадміністрації; управління облдержадміністрації: освіти і науки; охорони здоров'я, служба у справах дітей, 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обласний центр соціальних служб, 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t>Районні військові адміністрації,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Міські, селищні, сільські ради (за згодою),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 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942" w:type="dxa"/>
          </w:tcPr>
          <w:p w:rsidR="00C30018" w:rsidRPr="00C30018" w:rsidRDefault="0036646F" w:rsidP="00941C7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30018" w:rsidRPr="00C30018">
              <w:rPr>
                <w:rFonts w:ascii="Times New Roman" w:hAnsi="Times New Roman" w:cs="Times New Roman"/>
                <w:sz w:val="24"/>
                <w:szCs w:val="24"/>
              </w:rPr>
              <w:t>На сайті Департаменту соціального захисту населення обласної держаної адміністрації в рубриці «Важлива інформація для ВПО»</w:t>
            </w:r>
            <w:r w:rsidR="00C300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30018" w:rsidRPr="00C30018">
              <w:rPr>
                <w:rFonts w:ascii="Times New Roman" w:hAnsi="Times New Roman" w:cs="Times New Roman"/>
                <w:sz w:val="24"/>
                <w:szCs w:val="24"/>
              </w:rPr>
              <w:t xml:space="preserve"> розміщено актуальну інформацію для внутрішньо переміщених осіб, яка постійно оновлюється</w:t>
            </w:r>
            <w:r w:rsidR="00C300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41C7C" w:rsidRDefault="0036646F" w:rsidP="00941C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41C7C" w:rsidRPr="00941C7C">
              <w:rPr>
                <w:rFonts w:ascii="Times New Roman" w:hAnsi="Times New Roman" w:cs="Times New Roman"/>
                <w:sz w:val="24"/>
                <w:szCs w:val="24"/>
              </w:rPr>
              <w:t xml:space="preserve">Для абітурієнтів з числа ВПО у ході вступної кампанії  проводиться  інформаційно-роз’яснювальна робота стосовно спеціальних умов вступу до закладів освіти, а також про інші освітні можливості, які можна отримати в освітніх центрах «Донбас-Україна» та «Крим-Україна», що функціонують на базі </w:t>
            </w:r>
            <w:r w:rsidR="00941C7C" w:rsidRPr="00941C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закладів вищої освіти</w:t>
            </w:r>
            <w:r w:rsidR="00046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2AF" w:rsidRPr="000462AF" w:rsidRDefault="0036646F" w:rsidP="00C3001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0462AF" w:rsidRPr="000462AF">
              <w:rPr>
                <w:rFonts w:ascii="Times New Roman" w:hAnsi="Times New Roman" w:cs="Times New Roman"/>
                <w:iCs/>
                <w:sz w:val="24"/>
                <w:szCs w:val="24"/>
              </w:rPr>
              <w:t>В області на даний час прожива</w:t>
            </w:r>
            <w:r w:rsidR="000462AF">
              <w:rPr>
                <w:rFonts w:ascii="Times New Roman" w:hAnsi="Times New Roman" w:cs="Times New Roman"/>
                <w:iCs/>
                <w:sz w:val="24"/>
                <w:szCs w:val="24"/>
              </w:rPr>
              <w:t>ють</w:t>
            </w:r>
            <w:r w:rsidR="000462AF" w:rsidRPr="000462A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 прийомна сім’я (далі - </w:t>
            </w:r>
            <w:proofErr w:type="spellStart"/>
            <w:r w:rsidR="000462AF" w:rsidRPr="000462AF">
              <w:rPr>
                <w:rFonts w:ascii="Times New Roman" w:hAnsi="Times New Roman" w:cs="Times New Roman"/>
                <w:iCs/>
                <w:sz w:val="24"/>
                <w:szCs w:val="24"/>
              </w:rPr>
              <w:t>ПС</w:t>
            </w:r>
            <w:proofErr w:type="spellEnd"/>
            <w:r w:rsidR="000462AF" w:rsidRPr="000462AF">
              <w:rPr>
                <w:rFonts w:ascii="Times New Roman" w:hAnsi="Times New Roman" w:cs="Times New Roman"/>
                <w:iCs/>
                <w:sz w:val="24"/>
                <w:szCs w:val="24"/>
              </w:rPr>
              <w:t>) та 1 дитячий будинок сімейного типу (далі - ДБСТ), батьки та діти з яких мають статус внутрішньо переміщених осіб.</w:t>
            </w:r>
          </w:p>
          <w:p w:rsidR="000462AF" w:rsidRPr="000462AF" w:rsidRDefault="0036646F" w:rsidP="00C30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2AF" w:rsidRPr="000462AF">
              <w:rPr>
                <w:rFonts w:ascii="Times New Roman" w:hAnsi="Times New Roman" w:cs="Times New Roman"/>
                <w:sz w:val="24"/>
                <w:szCs w:val="24"/>
              </w:rPr>
              <w:t xml:space="preserve">До Дня усиновлення відвідали вищезазначені родини, зокрема 4 родини опікунів/піклувальників, які перемістилися (евакуювалися) з інших регіонів під час повномасштабної війни. </w:t>
            </w:r>
          </w:p>
          <w:p w:rsidR="000462AF" w:rsidRPr="000462AF" w:rsidRDefault="0036646F" w:rsidP="00C3001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462AF" w:rsidRPr="000462AF">
              <w:rPr>
                <w:rFonts w:ascii="Times New Roman" w:hAnsi="Times New Roman" w:cs="Times New Roman"/>
                <w:sz w:val="24"/>
                <w:szCs w:val="24"/>
              </w:rPr>
              <w:t xml:space="preserve">До участі у заході долучилася </w:t>
            </w:r>
            <w:r w:rsidR="000462AF" w:rsidRPr="000462AF">
              <w:rPr>
                <w:rFonts w:ascii="Times New Roman" w:hAnsi="Times New Roman" w:cs="Times New Roman"/>
                <w:bCs/>
                <w:sz w:val="24"/>
                <w:szCs w:val="24"/>
              </w:rPr>
              <w:t>МБО «Партнерство «Кожній дитині»</w:t>
            </w:r>
            <w:r w:rsidR="000462AF" w:rsidRPr="00046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62AF" w:rsidRPr="000462AF">
              <w:rPr>
                <w:rFonts w:ascii="Times New Roman" w:hAnsi="Times New Roman" w:cs="Times New Roman"/>
                <w:sz w:val="24"/>
                <w:szCs w:val="24"/>
              </w:rPr>
              <w:t xml:space="preserve">– міжнародна благодійна організація, що сприяє реформуванню системи забезпечення прав дитини та розвитку соціальних послуг для вразливих сімей і дітей. Благодійна допомога надана у вигляді обігрівачів та наборів автономного електричного обладнання (лампи, ліхтарі, </w:t>
            </w:r>
            <w:proofErr w:type="spellStart"/>
            <w:r w:rsidR="000462AF" w:rsidRPr="000462AF">
              <w:rPr>
                <w:rFonts w:ascii="Times New Roman" w:hAnsi="Times New Roman" w:cs="Times New Roman"/>
                <w:sz w:val="24"/>
                <w:szCs w:val="24"/>
              </w:rPr>
              <w:t>повербанки</w:t>
            </w:r>
            <w:proofErr w:type="spellEnd"/>
            <w:r w:rsidR="000462AF" w:rsidRPr="00046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62AF" w:rsidRPr="000462AF">
              <w:rPr>
                <w:rFonts w:ascii="Times New Roman" w:hAnsi="Times New Roman" w:cs="Times New Roman"/>
                <w:sz w:val="24"/>
                <w:szCs w:val="24"/>
              </w:rPr>
              <w:t>акамулятори</w:t>
            </w:r>
            <w:proofErr w:type="spellEnd"/>
            <w:r w:rsidR="000462AF" w:rsidRPr="000462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E0C5F" w:rsidRPr="00C30018" w:rsidRDefault="0036646F" w:rsidP="004E0C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До привітання родин з новорічними святами долучилася міжнародна неурядова гуманітарна організація «</w:t>
            </w:r>
            <w:proofErr w:type="spellStart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Save</w:t>
            </w:r>
            <w:proofErr w:type="spellEnd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Children</w:t>
            </w:r>
            <w:proofErr w:type="spellEnd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», і надала подарунки, які стануть особливо актуальними в осінньо-зимовий період та під час відключень електроенергії</w:t>
            </w:r>
            <w:r w:rsidR="00C3001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Крім того, за рахунок коштів субвенції з </w:t>
            </w:r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державного бюджету у розмірі 3914,4 </w:t>
            </w:r>
            <w:proofErr w:type="spellStart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тис.грн</w:t>
            </w:r>
            <w:proofErr w:type="spellEnd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 грудні 2024 року для дитячого будинку сімейного типу, </w:t>
            </w:r>
            <w:proofErr w:type="spellStart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евакуйовано</w:t>
            </w:r>
            <w:proofErr w:type="spellEnd"/>
            <w:r w:rsidR="000462AF" w:rsidRPr="000462A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з Харківської області, батьки - вихователі та діти-вихованці з якого, мають статус ВПО, у м. Ніжин придбано житловий будинок. Наявні технічні параметри будинку дозволяють проживати у ДБСТ 9 особам (7 – </w:t>
            </w:r>
            <w:r w:rsidR="000462AF" w:rsidRPr="00C3001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дітям (в т. ч. 2 – з інвалідністю) та 2-м батькам-вихователям).</w:t>
            </w:r>
          </w:p>
          <w:p w:rsidR="004E0C5F" w:rsidRDefault="0036646F" w:rsidP="004E0C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</w:t>
            </w:r>
            <w:r w:rsidR="00C30018" w:rsidRPr="00C30018">
              <w:rPr>
                <w:sz w:val="28"/>
                <w:szCs w:val="28"/>
                <w:lang w:eastAsia="uk-UA"/>
              </w:rPr>
              <w:t>П</w:t>
            </w:r>
            <w:r w:rsidR="004E0C5F" w:rsidRPr="00C3001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ротягом 2024 року центрами соціальних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служб, центрами надання соціальних послуг, фахівцями із соціальної роботи територіальних громад області забезпечувалось постійне інформування населення з питань підтримки внутрішньо переміщених сімей/осіб шляхом активного залучення </w:t>
            </w:r>
            <w:proofErr w:type="spellStart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Інтернет-ресурсу</w:t>
            </w:r>
            <w:proofErr w:type="spellEnd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4E0C5F" w:rsidRPr="0091454E" w:rsidRDefault="0036646F" w:rsidP="004E0C5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Упродовж цього періоду інформаційні матеріали розміщувались на сайті Чернігівського обласного центру соціальних служб (http://ocssm.cg.gov.ua) та в мережі </w:t>
            </w:r>
            <w:proofErr w:type="spellStart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Facebook</w:t>
            </w:r>
            <w:proofErr w:type="spellEnd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 сторінці «Чернігівський обласний центр </w:t>
            </w:r>
            <w:r w:rsidR="004E0C5F" w:rsidRPr="0091454E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соціальних служб».</w:t>
            </w:r>
          </w:p>
          <w:p w:rsidR="005229D6" w:rsidRPr="0091454E" w:rsidRDefault="0036646F" w:rsidP="00964674">
            <w:pPr>
              <w:widowControl w:val="0"/>
              <w:snapToGrid w:val="0"/>
              <w:spacing w:line="216" w:lineRule="auto"/>
              <w:ind w:left="-108"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E104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1454E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сайтах </w:t>
            </w:r>
            <w:r w:rsidR="00E41B1E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Управління охорони здоров’я облдержадміністрації та </w:t>
            </w:r>
            <w:r w:rsidR="00E41B1E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медичних закладів області, а також сторінках</w:t>
            </w:r>
            <w:r w:rsidR="0091454E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41B1E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>у </w:t>
            </w:r>
            <w:r w:rsidR="00E41B1E" w:rsidRPr="0091454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Facebook </w:t>
            </w:r>
            <w:r w:rsidR="00E41B1E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>зазначених закладів розміщ</w:t>
            </w:r>
            <w:r w:rsidR="005229D6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>уються публікації</w:t>
            </w:r>
            <w:r w:rsidR="0091454E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щодо медичної допомоги </w:t>
            </w:r>
            <w:r w:rsidR="005229D6" w:rsidRPr="009145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ВПО. </w:t>
            </w:r>
          </w:p>
          <w:p w:rsidR="00E41B1E" w:rsidRPr="00887CE8" w:rsidRDefault="0036646F" w:rsidP="005229D6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30018" w:rsidRPr="0091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сайтах </w:t>
            </w:r>
            <w:r w:rsidR="00E41B1E" w:rsidRPr="0091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</w:t>
            </w:r>
            <w:r w:rsidR="005229D6" w:rsidRPr="009145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E41B1E" w:rsidRPr="005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</w:t>
            </w:r>
            <w:r w:rsidR="005229D6" w:rsidRPr="005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E41B1E" w:rsidRPr="005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адміністраці</w:t>
            </w:r>
            <w:r w:rsidR="005229D6" w:rsidRPr="005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й, </w:t>
            </w:r>
            <w:r w:rsidR="00E41B1E" w:rsidRPr="005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міських, селищних, сільських рад </w:t>
            </w:r>
            <w:r w:rsidR="005229D6" w:rsidRPr="005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висвітлюється актуальна інформація для ВПО. Крім того, інформування ВПО здійснюється шляхом поширення буклетів, брошур </w:t>
            </w:r>
            <w:r w:rsidR="005229D6" w:rsidRPr="005229D6">
              <w:rPr>
                <w:rFonts w:ascii="Times New Roman" w:eastAsia="Calibri" w:hAnsi="Times New Roman" w:cs="Times New Roman"/>
                <w:sz w:val="24"/>
                <w:szCs w:val="24"/>
              </w:rPr>
              <w:t>з роз’ясненням їх прав та законодавства</w:t>
            </w:r>
            <w:r w:rsidR="005229D6" w:rsidRPr="0052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Забезпечення роботи «гарячих» телефонних ліній для осіб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t xml:space="preserve">Департамент соціального захисту населення облдержадміністрації, 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t>Районні військові адміністрації,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Міські, селищні, сільські ради (за згодою), 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99068B" w:rsidRDefault="0036646F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області постійно проводиться інформаційно-роз’яснювальна робота серед внутрішньо переміщених осіб, працюють телефони «гарячих ліній», де громадяни можуть отримати консультацію з нагальних питань. </w:t>
            </w:r>
          </w:p>
          <w:p w:rsidR="00E41B1E" w:rsidRDefault="0099068B" w:rsidP="009906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На офіційному </w:t>
            </w:r>
            <w:proofErr w:type="spellStart"/>
            <w:r w:rsidRPr="0099068B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 обласної державної адміністрації створено розділ «Важлива інформація для ВПО» з </w:t>
            </w:r>
            <w:proofErr w:type="spellStart"/>
            <w:r w:rsidRPr="0099068B">
              <w:rPr>
                <w:rFonts w:ascii="Times New Roman" w:hAnsi="Times New Roman" w:cs="Times New Roman"/>
                <w:sz w:val="24"/>
                <w:szCs w:val="24"/>
              </w:rPr>
              <w:t>перенаправленням</w:t>
            </w:r>
            <w:proofErr w:type="spellEnd"/>
            <w:r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офіційний </w:t>
            </w:r>
            <w:proofErr w:type="spellStart"/>
            <w:r w:rsidRPr="0099068B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соціального захисту населення обласної державної адміністрації, де розміщено актуальну інформацію для внутрішньо переміщених осіб, яка постійно оновлюється.</w:t>
            </w:r>
          </w:p>
          <w:p w:rsidR="0036646F" w:rsidRPr="00887CE8" w:rsidRDefault="0036646F" w:rsidP="0036646F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 районних державних адміністраціях діють телефони «гарячих ліній» для ВПО.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23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Забезпечення інформування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населення щодо місць компактного розміщення осіб з числа ВПО, житлові програми, які діють на території області та умови у їх участі</w:t>
            </w: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соціального захисту населення облдержадміністрації,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Районні державні адміністрації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Міські, селищні, сільські ради (за згодою), 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99068B" w:rsidRDefault="0036646F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Розпорядженням начальника обласної військової адміністрації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від 10.11.2023 № 734 затверджено Перелік місць тимчасового проживання Чернігівської області, до якого включено 9 місць тимчасового проживання внутрішньо переміщених осіб розрахованих на 1428 ліжко-місць, в яких 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станом на 01.01.2025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прожив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391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оба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41B1E" w:rsidRPr="0099068B" w:rsidRDefault="0036646F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У модульному містечку в с. Красне Іванівської сільської ради, розрахованому на 36 ліжко-місць, прожива</w:t>
            </w:r>
            <w:r w:rsidR="0099068B">
              <w:rPr>
                <w:rFonts w:ascii="Times New Roman" w:eastAsia="Calibri" w:hAnsi="Times New Roman" w:cs="Times New Roman"/>
                <w:sz w:val="24"/>
                <w:szCs w:val="24"/>
              </w:rPr>
              <w:t>ло 19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</w:t>
            </w:r>
            <w:r w:rsidR="0099068B">
              <w:rPr>
                <w:rFonts w:ascii="Times New Roman" w:eastAsia="Calibri" w:hAnsi="Times New Roman" w:cs="Times New Roman"/>
                <w:sz w:val="24"/>
                <w:szCs w:val="24"/>
              </w:rPr>
              <w:t>іб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41B1E" w:rsidRPr="0099068B" w:rsidRDefault="0036646F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гуртожитках 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закладів освіти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області виділено 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542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ліжко-місц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тимчасового проживання внутрішньо переміщених осіб, 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станом на 01.01.2025 було 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зайнят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ліжко-місц</w:t>
            </w:r>
            <w:r w:rsidR="0099068B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="00E41B1E" w:rsidRPr="009906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41B1E" w:rsidRPr="00844755" w:rsidRDefault="00E41B1E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7CE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6646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Інформація про місця тимчасового </w:t>
            </w:r>
            <w:r w:rsidR="00844755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>проживання для ВПО розміщена н</w:t>
            </w:r>
            <w:r w:rsidR="00844755" w:rsidRPr="00844755">
              <w:rPr>
                <w:rFonts w:ascii="Times New Roman" w:hAnsi="Times New Roman" w:cs="Times New Roman"/>
                <w:sz w:val="24"/>
                <w:szCs w:val="24"/>
              </w:rPr>
              <w:t xml:space="preserve">а офіційному </w:t>
            </w:r>
            <w:proofErr w:type="spellStart"/>
            <w:r w:rsidR="00844755" w:rsidRPr="00844755">
              <w:rPr>
                <w:rFonts w:ascii="Times New Roman" w:hAnsi="Times New Roman" w:cs="Times New Roman"/>
                <w:sz w:val="24"/>
                <w:szCs w:val="24"/>
              </w:rPr>
              <w:t>вебсайті</w:t>
            </w:r>
            <w:proofErr w:type="spellEnd"/>
            <w:r w:rsidR="00844755" w:rsidRPr="00844755">
              <w:rPr>
                <w:rFonts w:ascii="Times New Roman" w:hAnsi="Times New Roman" w:cs="Times New Roman"/>
                <w:sz w:val="24"/>
                <w:szCs w:val="24"/>
              </w:rPr>
              <w:t xml:space="preserve"> Чернігівської</w:t>
            </w:r>
            <w:r w:rsidR="00844755"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 обласної державної адміністрації з </w:t>
            </w:r>
            <w:proofErr w:type="spellStart"/>
            <w:r w:rsidR="00844755" w:rsidRPr="0099068B">
              <w:rPr>
                <w:rFonts w:ascii="Times New Roman" w:hAnsi="Times New Roman" w:cs="Times New Roman"/>
                <w:sz w:val="24"/>
                <w:szCs w:val="24"/>
              </w:rPr>
              <w:t>перенаправленням</w:t>
            </w:r>
            <w:proofErr w:type="spellEnd"/>
            <w:r w:rsidR="00844755"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офіційний </w:t>
            </w:r>
            <w:proofErr w:type="spellStart"/>
            <w:r w:rsidR="00844755" w:rsidRPr="0099068B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  <w:r w:rsidR="00844755"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Департаменту соціального захисту населення обласної державної адміністрації </w:t>
            </w:r>
            <w:r w:rsidR="0084475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844755" w:rsidRPr="0099068B">
              <w:rPr>
                <w:rFonts w:ascii="Times New Roman" w:hAnsi="Times New Roman" w:cs="Times New Roman"/>
                <w:sz w:val="24"/>
                <w:szCs w:val="24"/>
              </w:rPr>
              <w:t>розділ</w:t>
            </w:r>
            <w:r w:rsidR="0084475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844755" w:rsidRPr="00990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755" w:rsidRPr="00844755">
              <w:rPr>
                <w:rFonts w:ascii="Times New Roman" w:hAnsi="Times New Roman" w:cs="Times New Roman"/>
                <w:sz w:val="24"/>
                <w:szCs w:val="24"/>
              </w:rPr>
              <w:t>«Важлива інформація для ВПО»</w:t>
            </w:r>
            <w:r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>, де зазначається адреса, відповідальна особа, кількість вільних місць.</w:t>
            </w:r>
          </w:p>
          <w:p w:rsidR="00E41B1E" w:rsidRPr="00844755" w:rsidRDefault="00E10442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85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ішенням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двадцять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п’ятої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сесії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обласної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сьомого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скликання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28 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жовтня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 2020 року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затверджена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Обласна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підтримки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індивідуального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особистого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селянського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Власний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дім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на 2021 – 2027 роки.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зазначеної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програми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жителям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області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надана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можливість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отримувати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довгострокові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ільгові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кредити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нове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індивідуального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будинку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добудову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реконструкцію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капітальний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завершеного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завершеного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індивідуального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добудову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реконструкцію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підсобних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господарських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приміщень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інженерне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облаштування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інженерних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мереж та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розвиток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особистого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селянського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Внутрішньо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переміщені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особи, у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разі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необхідності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можуть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звернутися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Чернігівського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обласного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фонду </w:t>
            </w:r>
            <w:proofErr w:type="spellStart"/>
            <w:proofErr w:type="gram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ідтримки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індивідуального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житлового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будівництва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селі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пільгових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кредитів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програмою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Власний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дім</w:t>
            </w:r>
            <w:proofErr w:type="spellEnd"/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». </w:t>
            </w:r>
          </w:p>
          <w:p w:rsidR="00E41B1E" w:rsidRPr="00887CE8" w:rsidRDefault="00E10442" w:rsidP="00844755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метою всебічної підтримки </w:t>
            </w:r>
            <w:r w:rsidR="00844755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>внутрішньо переміщених осіб, у 31 територіальній</w:t>
            </w:r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громад</w:t>
            </w:r>
            <w:r w:rsidR="00844755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області </w:t>
            </w:r>
            <w:r w:rsidR="00844755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діяли 38 </w:t>
            </w:r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>місцев</w:t>
            </w:r>
            <w:r w:rsidR="00844755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</w:t>
            </w:r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</w:t>
            </w:r>
            <w:r w:rsidR="00844755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заходи </w:t>
            </w:r>
            <w:r w:rsidR="00E41B1E" w:rsidRPr="008447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яких спрямовані на забезпечення прав і свобод внутрішньо переміщених осіб.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24І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Проведення семінарів, тренінгів, навчань та інших інформаційно-консультаційних заходів для суб’єктів підприємницької діяльності та осіб, які мають намір започаткувати власну справу, у тому числі для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економічного розвитку облдержадміністрації, Державна організація «Регіональний фонд підтримки підприємництва по Чернігівській області», 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Агенція регіонального розвитку Чернігівської області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91454E" w:rsidRPr="0091454E" w:rsidRDefault="0091454E" w:rsidP="0091454E">
            <w:pPr>
              <w:pStyle w:val="a5"/>
              <w:spacing w:after="0"/>
              <w:ind w:firstLine="567"/>
              <w:jc w:val="both"/>
              <w:rPr>
                <w:iCs/>
                <w:szCs w:val="24"/>
              </w:rPr>
            </w:pPr>
            <w:r w:rsidRPr="0091454E">
              <w:rPr>
                <w:iCs/>
                <w:szCs w:val="24"/>
              </w:rPr>
              <w:t xml:space="preserve">Департаментом економічного розвитку облдержадміністрації спільно з Державною організацією </w:t>
            </w:r>
            <w:proofErr w:type="spellStart"/>
            <w:r w:rsidRPr="0091454E">
              <w:rPr>
                <w:iCs/>
                <w:szCs w:val="24"/>
              </w:rPr>
              <w:t>“Регіональний</w:t>
            </w:r>
            <w:proofErr w:type="spellEnd"/>
            <w:r w:rsidRPr="0091454E">
              <w:rPr>
                <w:iCs/>
                <w:szCs w:val="24"/>
              </w:rPr>
              <w:t xml:space="preserve"> фонд підтримки підприємництва по Чернігівській </w:t>
            </w:r>
            <w:proofErr w:type="spellStart"/>
            <w:r w:rsidRPr="0091454E">
              <w:rPr>
                <w:iCs/>
                <w:szCs w:val="24"/>
              </w:rPr>
              <w:t>області”</w:t>
            </w:r>
            <w:proofErr w:type="spellEnd"/>
            <w:r w:rsidRPr="0091454E">
              <w:rPr>
                <w:iCs/>
                <w:szCs w:val="24"/>
              </w:rPr>
              <w:t xml:space="preserve"> та Агенцією регіонального розвитку Чернігівської області надається постійна </w:t>
            </w:r>
            <w:proofErr w:type="spellStart"/>
            <w:r w:rsidRPr="0091454E">
              <w:rPr>
                <w:iCs/>
                <w:szCs w:val="24"/>
              </w:rPr>
              <w:t>інформаційно</w:t>
            </w:r>
            <w:proofErr w:type="spellEnd"/>
            <w:r w:rsidRPr="0091454E">
              <w:rPr>
                <w:iCs/>
                <w:szCs w:val="24"/>
              </w:rPr>
              <w:t xml:space="preserve"> - консультаційна підтримка (заходи в </w:t>
            </w:r>
            <w:proofErr w:type="spellStart"/>
            <w:r w:rsidRPr="0091454E">
              <w:rPr>
                <w:iCs/>
                <w:szCs w:val="24"/>
              </w:rPr>
              <w:t>онлайн</w:t>
            </w:r>
            <w:proofErr w:type="spellEnd"/>
            <w:r w:rsidRPr="0091454E">
              <w:rPr>
                <w:iCs/>
                <w:szCs w:val="24"/>
              </w:rPr>
              <w:t>/</w:t>
            </w:r>
            <w:proofErr w:type="spellStart"/>
            <w:r w:rsidRPr="0091454E">
              <w:rPr>
                <w:iCs/>
                <w:szCs w:val="24"/>
              </w:rPr>
              <w:t>офлайн</w:t>
            </w:r>
            <w:proofErr w:type="spellEnd"/>
            <w:r w:rsidRPr="0091454E">
              <w:rPr>
                <w:iCs/>
                <w:szCs w:val="24"/>
              </w:rPr>
              <w:t xml:space="preserve"> режимі) діючому бізнесу та підприємцям-початківцям, а також соціально вразливим на ринку праці верствам населення: ВПО, учасникам бойових дій, жінкам, жителям сільської місцевості, молоді. </w:t>
            </w:r>
          </w:p>
          <w:p w:rsidR="0091454E" w:rsidRPr="0091454E" w:rsidRDefault="0091454E" w:rsidP="0091454E">
            <w:pPr>
              <w:pStyle w:val="a5"/>
              <w:spacing w:after="0"/>
              <w:ind w:firstLine="567"/>
              <w:jc w:val="both"/>
              <w:rPr>
                <w:iCs/>
                <w:szCs w:val="24"/>
              </w:rPr>
            </w:pPr>
            <w:r w:rsidRPr="0091454E">
              <w:rPr>
                <w:iCs/>
                <w:szCs w:val="24"/>
              </w:rPr>
              <w:t>Зокрема, протягом 2024 року проведено понад 60 інформаційно-консультаційних заходів для підприємців та осіб, які бажають започаткувати підприємницьку діяльність (</w:t>
            </w:r>
            <w:proofErr w:type="spellStart"/>
            <w:r w:rsidRPr="0091454E">
              <w:rPr>
                <w:iCs/>
                <w:szCs w:val="24"/>
              </w:rPr>
              <w:t>вебінари</w:t>
            </w:r>
            <w:proofErr w:type="spellEnd"/>
            <w:r w:rsidRPr="0091454E">
              <w:rPr>
                <w:iCs/>
                <w:szCs w:val="24"/>
              </w:rPr>
              <w:t xml:space="preserve">, семінари-консультації, тренінги з актуальних питань щодо: залучення державних та міжнародних грантових, кредитних коштів; змін до податкового та трудового законодавства тощо, за участі територіальних підрозділів центральних органів виконавчої влади та структурних підрозділів </w:t>
            </w:r>
            <w:r w:rsidRPr="0091454E">
              <w:rPr>
                <w:iCs/>
                <w:szCs w:val="24"/>
              </w:rPr>
              <w:lastRenderedPageBreak/>
              <w:t xml:space="preserve">обласної державної адміністрації). </w:t>
            </w:r>
          </w:p>
          <w:p w:rsidR="00E41B1E" w:rsidRPr="00887CE8" w:rsidRDefault="0091454E" w:rsidP="0091454E">
            <w:pPr>
              <w:pStyle w:val="a5"/>
              <w:spacing w:after="0"/>
              <w:ind w:firstLine="567"/>
              <w:jc w:val="both"/>
              <w:rPr>
                <w:rFonts w:eastAsia="Calibri"/>
                <w:color w:val="FF0000"/>
                <w:szCs w:val="24"/>
              </w:rPr>
            </w:pPr>
            <w:r w:rsidRPr="0091454E">
              <w:rPr>
                <w:iCs/>
                <w:szCs w:val="24"/>
              </w:rPr>
              <w:t xml:space="preserve">З метою оперативного інформування представників підприємництва, на офіційних сайтах Чернігівської облдержадміністрації та Департаменту економічного розвитку облдержадміністрації, а також в соціальній мережі </w:t>
            </w:r>
            <w:proofErr w:type="spellStart"/>
            <w:r w:rsidRPr="0091454E">
              <w:rPr>
                <w:iCs/>
                <w:szCs w:val="24"/>
              </w:rPr>
              <w:t>Facebook</w:t>
            </w:r>
            <w:proofErr w:type="spellEnd"/>
            <w:r w:rsidRPr="0091454E">
              <w:rPr>
                <w:iCs/>
                <w:szCs w:val="24"/>
              </w:rPr>
              <w:t xml:space="preserve"> розміщувалась інформація щодо змін в законодавстві, фінансової підтримки, зокрема  грантових та кредитних державних, міжнародних програм, та інша актуальна інформація для суб’єктів господарювання. Крім того, постійно актуалізуються матеріали дайджестів щодо грантових можливостей для бізнесу, освітніх </w:t>
            </w:r>
            <w:proofErr w:type="spellStart"/>
            <w:r w:rsidRPr="0091454E">
              <w:rPr>
                <w:iCs/>
                <w:szCs w:val="24"/>
              </w:rPr>
              <w:t>проєктів</w:t>
            </w:r>
            <w:proofErr w:type="spellEnd"/>
            <w:r w:rsidRPr="0091454E">
              <w:rPr>
                <w:iCs/>
                <w:szCs w:val="24"/>
              </w:rPr>
              <w:t xml:space="preserve"> тощо.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Забезпечення охоплення базовими соціальними послугами осіб з числа ВПО через мережу центрів надання соціальних послуг, центрів соціальних служб та фахівців із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соціальної роботи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>Міські, селищні, сільські ради (за згодою)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887CE8" w:rsidRDefault="001850C5" w:rsidP="001850C5">
            <w:pPr>
              <w:tabs>
                <w:tab w:val="left" w:pos="1162"/>
              </w:tabs>
              <w:ind w:firstLine="248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1850C5">
              <w:rPr>
                <w:rFonts w:ascii="Times New Roman" w:hAnsi="Times New Roman" w:cs="Times New Roman"/>
                <w:sz w:val="24"/>
                <w:szCs w:val="24"/>
              </w:rPr>
              <w:t>Проводиться робота по забезпеченню внутрішньо переміщених осіб соціальними послугами.</w:t>
            </w:r>
            <w:r w:rsidRPr="00185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2024 року до органів соціального захисту населення  звернулось 16699 внутрішньо переміщених (осіб з інвалідністю, осіб похилого віку та осіб похилого віку, які мають інвалідність). Згідно актів оцінки потреб 1352 внутрішньо переміщені особи отримують соціальні послуги, зокрема, послугу догляду вдома – 120 осіб; соціальний супровід </w:t>
            </w:r>
            <w:r w:rsidRPr="001850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сімей/осіб, які перебувають у складних життєвих обставинах – 9 осіб; транспортні послуги – 6 осіб; соціальна адаптація – 283 особи; натуральна допомога – 999 осіб.</w:t>
            </w:r>
            <w:r w:rsidRPr="001850C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85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850C5">
              <w:rPr>
                <w:rFonts w:ascii="Times New Roman" w:eastAsia="Calibri" w:hAnsi="Times New Roman" w:cs="Times New Roman"/>
                <w:sz w:val="24"/>
                <w:szCs w:val="24"/>
              </w:rPr>
              <w:t>інтернатних</w:t>
            </w:r>
            <w:proofErr w:type="spellEnd"/>
            <w:r w:rsidRPr="00185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установах послугу стаціонарного догляду отримують 52 підопічні (з них 1 дитина віком до 18 років).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Забезпечення навчання працівників центрів надання соціальних послуг, центрів соціальних служб та фахівців із соціальної роботи щодо надання соціальних послуг особам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Обласний центр соціальних служб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4E0C5F" w:rsidRDefault="006611CA" w:rsidP="004E0C5F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Надання соціальних послуг внутрішньо переміщеним сім’ям  забезпечується спеціалістами центрів соціальних служб, центрів надання соціальних послуг та фахівцями із соціальної роботи територіальних громад. </w:t>
            </w:r>
          </w:p>
          <w:p w:rsidR="004E0C5F" w:rsidRDefault="006611CA" w:rsidP="004E0C5F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Протягом 2024 року соціальними послугами охоплено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2092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сімей, в них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2858 дорослих та 1848 дітей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.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Загалом,  протягом звітного періоду,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63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сімʼї</w:t>
            </w:r>
            <w:proofErr w:type="spellEnd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отримали послугу соціального супроводу,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2019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– інформування, 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2010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– консультування,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1001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– представництва інтересів,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842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– соціальної адаптації.</w:t>
            </w:r>
            <w:r w:rsidR="004E0C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  <w:p w:rsidR="004E0C5F" w:rsidRDefault="006611CA" w:rsidP="004E0C5F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Для  покращення якості надання соціальних послуг у громадах, підвищення свого професійного рівня щодо надання соціальних послуг вищезазначеним сім’ям,  фахівці із соціальної роботи та спеціалісти ТГ беруть участь у навчальних семінарах, тренінгах,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які організовує обласний центр соціальних служб.</w:t>
            </w:r>
          </w:p>
          <w:p w:rsidR="004E0C5F" w:rsidRDefault="006611CA" w:rsidP="004E0C5F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Так, протягом 2024 року обласним центром проведено семінар </w:t>
            </w:r>
            <w:r w:rsidR="004E0C5F" w:rsidRPr="004E0C5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«Актуальні питання роботи з внутрішньо переміщеними особами»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групову </w:t>
            </w:r>
            <w:proofErr w:type="spellStart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супервізію</w:t>
            </w:r>
            <w:proofErr w:type="spellEnd"/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для фахівців із соціальної роботи.</w:t>
            </w:r>
          </w:p>
          <w:p w:rsidR="00E41B1E" w:rsidRPr="00887CE8" w:rsidRDefault="006611CA" w:rsidP="004E0C5F">
            <w:pPr>
              <w:tabs>
                <w:tab w:val="left" w:pos="0"/>
                <w:tab w:val="left" w:pos="7371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4E0C5F" w:rsidRPr="004E0C5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Також, обласним центром здійснюється інформаційно-методичне забезпечення діяльності спеціалістів, фахівців із соціальної роботи територіальних громад щодо надання соціальних послуг внутрішньо переміщеним сім’ям.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Надання особам з числа ВПО допомоги в отриманні соціальних послуг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Районні державні адміністрації</w:t>
            </w:r>
          </w:p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Міські, селищні, сільські ради</w:t>
            </w:r>
            <w:r w:rsidRPr="00E41B1E">
              <w:rPr>
                <w:rFonts w:ascii="Times New Roman" w:eastAsia="Calibri" w:hAnsi="Times New Roman" w:cs="Times New Roman"/>
                <w:highlight w:val="cyan"/>
              </w:rPr>
              <w:t xml:space="preserve"> </w:t>
            </w:r>
            <w:r w:rsidRPr="00E41B1E">
              <w:rPr>
                <w:rFonts w:ascii="Times New Roman" w:eastAsia="Calibri" w:hAnsi="Times New Roman" w:cs="Times New Roman"/>
              </w:rPr>
              <w:t>(за згодою),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Департамент соціального захисту населення облдержадміністрації,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громадські організації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6611CA" w:rsidRDefault="006611CA" w:rsidP="009646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1C091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Фахівцями із соціальної роботи центрів надання соціальних послуг, центрів соціальних служб постійно проводиться  робота щодо виявлення осіб, які </w:t>
            </w:r>
            <w:r w:rsidRPr="001C0913">
              <w:rPr>
                <w:rFonts w:ascii="Times New Roman" w:eastAsia="Calibri" w:hAnsi="Times New Roman" w:cs="Times New Roman"/>
                <w:sz w:val="24"/>
                <w:szCs w:val="24"/>
              </w:rPr>
              <w:t>належать до вразливих груп населення або перебувають у складних життєвих обставинах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41B1E" w:rsidRPr="00887CE8" w:rsidRDefault="00E41B1E" w:rsidP="006611CA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28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Надання особам з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 xml:space="preserve">числа ВПО послуг підтриманого проживання в геріатричних, </w:t>
            </w:r>
            <w:proofErr w:type="spellStart"/>
            <w:r w:rsidRPr="00E41B1E">
              <w:rPr>
                <w:rFonts w:ascii="Times New Roman" w:eastAsia="Calibri" w:hAnsi="Times New Roman" w:cs="Times New Roman"/>
              </w:rPr>
              <w:t>психо-неврологічних</w:t>
            </w:r>
            <w:proofErr w:type="spellEnd"/>
            <w:r w:rsidRPr="00E41B1E">
              <w:rPr>
                <w:rFonts w:ascii="Times New Roman" w:eastAsia="Calibri" w:hAnsi="Times New Roman" w:cs="Times New Roman"/>
              </w:rPr>
              <w:t xml:space="preserve"> інтернатах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 xml:space="preserve">Департамент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соціального захисту населення облдержадміністрації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6611CA" w:rsidRDefault="006611CA" w:rsidP="00964674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="00E41B1E" w:rsidRPr="006611C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Послуга підтриманого проживання надається в </w:t>
            </w:r>
            <w:r w:rsidR="00E41B1E" w:rsidRPr="006611C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Замглайському психоневрологічному інтернаті та в Ніжинському дитячому будинку-інтернаті. </w:t>
            </w:r>
          </w:p>
          <w:p w:rsidR="00E41B1E" w:rsidRPr="006611CA" w:rsidRDefault="006611CA" w:rsidP="00964674">
            <w:pPr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="00E41B1E" w:rsidRPr="006611C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Станом на 15 січня 2024 року в закладах системи соціального захисту населення  області перебуває 7 внутрішньо переміщених осіб, з них 1 – дитина, але вони не потребують послуги підтриманого проживання.</w:t>
            </w:r>
          </w:p>
          <w:p w:rsidR="00E41B1E" w:rsidRPr="00887CE8" w:rsidRDefault="00E41B1E" w:rsidP="00964674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Формування актуального переліку потреб осіб з числа ВПО; надання необхідної інформаційної підтримки партнерам з розвитку; підготовка та проведення зустрічей з партнерами з розвитку; підготовка та укладання відповідних документів про співпрацю; організація роботи з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нагляду за реалізацією проектів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>Департаменти облдержадміністрації:  економічного розвитку; соціального захисту населення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942" w:type="dxa"/>
          </w:tcPr>
          <w:p w:rsidR="0091454E" w:rsidRPr="0091454E" w:rsidRDefault="006611CA" w:rsidP="0091454E">
            <w:pPr>
              <w:pStyle w:val="a5"/>
              <w:spacing w:after="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   </w:t>
            </w:r>
            <w:r w:rsidR="0091454E" w:rsidRPr="0091454E">
              <w:rPr>
                <w:iCs/>
                <w:szCs w:val="24"/>
              </w:rPr>
              <w:t>В області продовжується активна робота щодо налагодження співпраці з міжнародними і вітчизняними партнерами з розвитку (донорами) з метою залучення позабюджетних коштів для відновлення та соціально-економічного розвитку області, в т.ч. підтримки внутрішньо переміщених осіб та незахищених верств населення.</w:t>
            </w:r>
          </w:p>
          <w:p w:rsidR="0091454E" w:rsidRPr="0091454E" w:rsidRDefault="006611CA" w:rsidP="0091454E">
            <w:pPr>
              <w:pStyle w:val="a5"/>
              <w:spacing w:after="0"/>
              <w:jc w:val="both"/>
              <w:rPr>
                <w:iCs/>
                <w:color w:val="000000" w:themeColor="text1"/>
                <w:szCs w:val="24"/>
              </w:rPr>
            </w:pPr>
            <w:r>
              <w:rPr>
                <w:iCs/>
                <w:szCs w:val="24"/>
              </w:rPr>
              <w:t xml:space="preserve">   </w:t>
            </w:r>
            <w:r w:rsidR="0091454E" w:rsidRPr="0091454E">
              <w:rPr>
                <w:iCs/>
                <w:szCs w:val="24"/>
              </w:rPr>
              <w:t xml:space="preserve">Зокрема, здійснюється підготовка та проведення зустрічей з партнерами з розвитку та укладаються відповідні документи про співпрацю (меморандуми, угоди тощо). З початку повномасштабного вторгнення російської федерації в Україну, Чернігівською обласною військовою адміністрацією укладено </w:t>
            </w:r>
            <w:r w:rsidR="0091454E" w:rsidRPr="0091454E">
              <w:rPr>
                <w:iCs/>
                <w:color w:val="000000" w:themeColor="text1"/>
                <w:szCs w:val="24"/>
              </w:rPr>
              <w:t xml:space="preserve">55 </w:t>
            </w:r>
            <w:r w:rsidR="0091454E" w:rsidRPr="0091454E">
              <w:rPr>
                <w:rFonts w:eastAsia="Calibri"/>
                <w:iCs/>
                <w:color w:val="000000" w:themeColor="text1"/>
                <w:szCs w:val="24"/>
              </w:rPr>
              <w:t xml:space="preserve">документів про </w:t>
            </w:r>
            <w:r w:rsidR="0091454E" w:rsidRPr="0091454E">
              <w:rPr>
                <w:rFonts w:eastAsia="Calibri"/>
                <w:iCs/>
                <w:color w:val="000000" w:themeColor="text1"/>
                <w:szCs w:val="24"/>
              </w:rPr>
              <w:lastRenderedPageBreak/>
              <w:t xml:space="preserve">співпрацю з партнерами з розвитку. </w:t>
            </w:r>
          </w:p>
          <w:p w:rsidR="0091454E" w:rsidRPr="0091454E" w:rsidRDefault="0091454E" w:rsidP="0091454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Протягом 2022-2023 років на території області</w:t>
            </w:r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реалізувався 18-ти місячний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«Дії та реагування територіальних громад на надзвичайні ситуації «CLEAR», в якому Чернігівська обласна державна адміністрація виступає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бенефіціаром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, що фінансувався Агентством США з міжнародного розвитку (USAID) і впроваджувався компанією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Глобал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Ком`юнітіз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Global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Communities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). Програма мала на меті покращити спроможність місцевих громад для посилення безпеки та добробуту внутрішньо переміщених осіб і постраждалого від російської агресії місцевого населення.</w:t>
            </w:r>
          </w:p>
          <w:p w:rsidR="0091454E" w:rsidRPr="0091454E" w:rsidRDefault="0091454E" w:rsidP="0091454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Проєкт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 «CLEAR» працював в 14-ти територіальних громадах Чернігівської області (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Киїнська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сільська, Чернігівська міська,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Борзнянська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міська, Деснянська селищна, Новгород-Сіверська міська, Іванівська сільська,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Сосницька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селищна,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Корюківська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міська,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Сновська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міська,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Новобілоуська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сільська,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Семенівська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міська,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Городнянська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міська,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Тупичівська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сільська, Ніжинська міська) і разом із 6-ма місцевими організаціями громадянського суспільства </w:t>
            </w:r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 xml:space="preserve">реалізував гуманітарні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проєкти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у відповідь на нагальні потреби за трьома основними напрямками: надання захисту, забезпечення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прихистку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та доступу до санітарії та гігієни.</w:t>
            </w:r>
          </w:p>
          <w:p w:rsidR="0091454E" w:rsidRPr="0091454E" w:rsidRDefault="0091454E" w:rsidP="009145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Нараз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і в області триває реалізація другої фази 12 місячного</w:t>
            </w:r>
            <w:proofErr w:type="gram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роєкту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/Програми «Дії та реагування територіальних громад на надзвичайні ситуації 2» (CLEAR 2). Термін реалізації: до 17.01.2025 року. Цільовими визначено 24 громади в області.</w:t>
            </w:r>
          </w:p>
          <w:p w:rsidR="0091454E" w:rsidRPr="0091454E" w:rsidRDefault="0091454E" w:rsidP="0091454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Крім того, Чернігівська обласна державна адміністрація виступає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бенефіціаром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проєкту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«EU4Recovery - Розширення можливостей громад в Україні»,  що фінансується Європейським Союзом через Програму розвитку Організації Об’єднаних Націй (ПРООН).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Проєкт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спрямовано на підтримку, зміцнення стійкості та швидке відновлення постраждалих від війни громад у вибраних цільових регіонах України та має дві конкретні цілі: </w:t>
            </w:r>
          </w:p>
          <w:p w:rsidR="0091454E" w:rsidRPr="0091454E" w:rsidRDefault="0091454E" w:rsidP="0091454E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розширення доступу в цільових громадах до якісних публічних послуг, які відповідають потребам всіх груп населення, з особливим акцентом на найбільш уразливих категоріях;</w:t>
            </w:r>
          </w:p>
          <w:p w:rsidR="0091454E" w:rsidRPr="0091454E" w:rsidRDefault="0091454E" w:rsidP="0091454E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</w:t>
            </w: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ab/>
              <w:t>підвищення рівня безпеки громад, збереження соціальної структури у цільових громадах.</w:t>
            </w:r>
          </w:p>
          <w:p w:rsidR="0091454E" w:rsidRPr="0091454E" w:rsidRDefault="0091454E" w:rsidP="0091454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Крім того, до реалізації заходів спрямованих на відновлення житла, захист та підтримку незахищених верств населення та внутрішньо переміщених осіб на території області долучаються ще ряд міжнародних та національних організацій: Міжнародна організація з міграції (МОМ), ZOA, Чеська гуманітарна організація «Людина в біді» (PIN), Словацька гуманітарна </w:t>
            </w:r>
            <w:r w:rsidRPr="009145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організація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People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Peril</w:t>
            </w:r>
            <w:proofErr w:type="spellEnd"/>
            <w:r w:rsidRPr="009145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(«Людина у скруті»), </w:t>
            </w:r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Норвезька рада у справах біженців в Україні (NRC), Агентство ООН у справах біженців, Данська рада у справах біженців в Україні (DRC), Фонд «Партнерство за сильну  Україну»,  Благодійний фонд NEW WAY, Міжнародний медичний корпус, Благодійний фонд «Право на захист», Благодійний фонд «Рокада», міжнародна гуманітарна організація «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Medair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», компанія «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Rockwool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», міжнародна організація OXFAM, французька неурядова гуманітарна організація «ACTED», Програма ООН із відновлення та розбудови миру, GER3, Help-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hilfe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zur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selbsthilfe</w:t>
            </w:r>
            <w:proofErr w:type="spellEnd"/>
            <w:r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, БФ «До України з любов’ю» тощо.</w:t>
            </w:r>
          </w:p>
          <w:p w:rsidR="0091454E" w:rsidRPr="0091454E" w:rsidRDefault="006611CA" w:rsidP="0091454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 </w:t>
            </w:r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У співпраці Чернігівської міської ради з представництвом Міжнародного Червоного Хреста, у м. Чернігів збудовано 7 двоповерхових багатоквартирних модульних житлових будинки (112 квартир: 84 – однокімнатні (28,7 м²), 28 – двокімнатні (38,6 м²), які розраховані для проживання 240 осіб.</w:t>
            </w:r>
          </w:p>
          <w:p w:rsidR="0091454E" w:rsidRPr="0091454E" w:rsidRDefault="006611CA" w:rsidP="0091454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Громадянин Швейцарії </w:t>
            </w:r>
            <w:proofErr w:type="spellStart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Андреас</w:t>
            </w:r>
            <w:proofErr w:type="spellEnd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Сайц</w:t>
            </w:r>
            <w:proofErr w:type="spellEnd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надав тимчасові споруди для життєзабезпечення постраждалого населення (модульне містечко) в  с. Красне Іванівської сільської громади Чернігівської області.</w:t>
            </w:r>
          </w:p>
          <w:p w:rsidR="00E41B1E" w:rsidRPr="00887CE8" w:rsidRDefault="006611CA" w:rsidP="0091454E">
            <w:p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</w:t>
            </w:r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Наприкінці 2024 року було завершено реалізацію </w:t>
            </w:r>
            <w:proofErr w:type="spellStart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проєкту</w:t>
            </w:r>
            <w:proofErr w:type="spellEnd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 ремонту приміщень будівлі гуртожитку у </w:t>
            </w:r>
            <w:proofErr w:type="spellStart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м.Городні</w:t>
            </w:r>
            <w:proofErr w:type="spellEnd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тимчасового перебування ВПО. Приміщення розраховане на 32 особи. </w:t>
            </w:r>
            <w:proofErr w:type="spellStart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Проєкт</w:t>
            </w:r>
            <w:proofErr w:type="spellEnd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впроваджувався в рамках співпраці між Чернігівським РВ Асоціація міст України та словацькими фондами Фундацією «Відкрите суспільство» в Братиславі та Фундацією «</w:t>
            </w:r>
            <w:proofErr w:type="spellStart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Понтіс</w:t>
            </w:r>
            <w:proofErr w:type="spellEnd"/>
            <w:r w:rsidR="0091454E" w:rsidRPr="0091454E">
              <w:rPr>
                <w:rFonts w:ascii="Times New Roman" w:hAnsi="Times New Roman" w:cs="Times New Roman"/>
                <w:iCs/>
                <w:sz w:val="24"/>
                <w:szCs w:val="24"/>
              </w:rPr>
              <w:t>» за фінансової підтримки представництва Тайбею в Словаччині.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Прийняття місцевих програм щодо надання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матеріальної підтримки, створення фондів тимчасового проживання для осіб з числа ВПО та соціального житла</w:t>
            </w: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 xml:space="preserve">Міські, селищні, сільські ради  (за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 xml:space="preserve">згодою) 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6611CA" w:rsidRPr="006611CA" w:rsidRDefault="006611CA" w:rsidP="006611CA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A">
              <w:rPr>
                <w:rFonts w:ascii="Times New Roman" w:hAnsi="Times New Roman" w:cs="Times New Roman"/>
                <w:sz w:val="24"/>
                <w:szCs w:val="24"/>
              </w:rPr>
              <w:t xml:space="preserve">З метою всебічної підтримки внутрішньо переміщених осіб, у 2024 році в 31 територіальній </w:t>
            </w:r>
            <w:r w:rsidRPr="00661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громаді області діяли 38 місцевих програм, заходи яких спрямовані на забезпечення прав і свобод внутрішньо переміщених осіб.</w:t>
            </w:r>
          </w:p>
          <w:p w:rsidR="006611CA" w:rsidRPr="006611CA" w:rsidRDefault="006611CA" w:rsidP="006611C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1CA">
              <w:rPr>
                <w:rFonts w:ascii="Times New Roman" w:hAnsi="Times New Roman" w:cs="Times New Roman"/>
                <w:sz w:val="24"/>
                <w:szCs w:val="24"/>
              </w:rPr>
              <w:t>Громадами області до фонду житла, призначеного для тимчасового проживання включено 24 житлові приміщення, в яких прожива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6611CA">
              <w:rPr>
                <w:rFonts w:ascii="Times New Roman" w:hAnsi="Times New Roman" w:cs="Times New Roman"/>
                <w:sz w:val="24"/>
                <w:szCs w:val="24"/>
              </w:rPr>
              <w:t xml:space="preserve"> 319 осіб. До житлового фонду соціального призначення включено 38 об’єктів, вільних – </w:t>
            </w:r>
            <w:r w:rsidRPr="006611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кімнат. </w:t>
            </w:r>
          </w:p>
          <w:p w:rsidR="00E41B1E" w:rsidRPr="006611CA" w:rsidRDefault="007019B6" w:rsidP="006611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Крім того, </w:t>
            </w:r>
            <w:r w:rsidR="006611CA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діяла </w:t>
            </w:r>
            <w:r w:rsidR="00E41B1E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>обласна Програма підтримки внутрішньо переміщених осіб у Чернігівській області на 2023-2024 роки</w:t>
            </w:r>
            <w:r w:rsidR="006611CA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>, з</w:t>
            </w:r>
            <w:r w:rsidR="00E41B1E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аходи </w:t>
            </w:r>
            <w:r w:rsidR="006611CA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>якої</w:t>
            </w:r>
            <w:r w:rsidR="00E41B1E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спрямов</w:t>
            </w:r>
            <w:r w:rsidR="006611CA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увались </w:t>
            </w:r>
            <w:r w:rsidR="00E41B1E" w:rsidRPr="00661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розв’язання основних проблем внутрішньо переміщених осіб, які зареєстровані та перебувають на території Чернігівської області, зокрема, вирішення питання забезпечення тимчасовим житлом.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tabs>
                <w:tab w:val="left" w:pos="318"/>
              </w:tabs>
              <w:autoSpaceDN w:val="0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Здійснення прийому документів та відбору громадян, які мають право на отримання державного довготермінового кредиту та підготовка рішень про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>надання молодим сім’ям пільгових довготермінових кредитів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 xml:space="preserve">Департамент сім’ї, молоді та спорту облдержадміністрації, Державна спеціалізована фінансова установа «Державний </w:t>
            </w:r>
            <w:r w:rsidRPr="00E41B1E">
              <w:rPr>
                <w:rFonts w:ascii="Times New Roman" w:eastAsia="Calibri" w:hAnsi="Times New Roman" w:cs="Times New Roman"/>
              </w:rPr>
              <w:lastRenderedPageBreak/>
              <w:t xml:space="preserve">фонд сприяння молодіжному житловому будівництву», 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міські, селищні, сільські ради  (за згодою)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FA18EF" w:rsidRPr="00FA18EF" w:rsidRDefault="007019B6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Здійснювалися заходи щодо популяризації Програми та інформування про існуючі можливості покращення житлових умов громадян. </w:t>
            </w:r>
          </w:p>
          <w:p w:rsidR="00FA18EF" w:rsidRPr="00FA18EF" w:rsidRDefault="007019B6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>Надано 21 консультацій.</w:t>
            </w:r>
          </w:p>
          <w:p w:rsidR="00FA18EF" w:rsidRDefault="007019B6" w:rsidP="00FA1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t xml:space="preserve">У зв’язку з відсутністю фінансування у 2024 році рішення щодо надання молодим громадянам пільгових довготермінових кредитів за рахунок коштів </w:t>
            </w:r>
            <w:r w:rsidR="00FA18EF" w:rsidRPr="00FA18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обласного бюджету не приймались.</w:t>
            </w:r>
          </w:p>
          <w:p w:rsidR="00E41B1E" w:rsidRPr="00887CE8" w:rsidRDefault="00E41B1E" w:rsidP="00964674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tabs>
                <w:tab w:val="left" w:pos="318"/>
              </w:tabs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Надання молодим сім’ям пільгових довготермінових кредитів на будівництво (реконструкцію) і придбання житла</w:t>
            </w: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 xml:space="preserve">Департамент сім’ї, молоді та спорту облдержадміністрації, Державна спеціалізована фінансова установа «Державний фонд сприяння молодіжному житловому будівництву», 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міські, селищні, сільські ради  (за згодою)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0B7AB6" w:rsidRDefault="007019B6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0B7AB6">
              <w:rPr>
                <w:rFonts w:ascii="Times New Roman" w:eastAsia="Calibri" w:hAnsi="Times New Roman" w:cs="Times New Roman"/>
                <w:sz w:val="24"/>
                <w:szCs w:val="24"/>
              </w:rPr>
              <w:t>Пільгові кредити не надавались у зв’язку з відсутністю фінансування через повномасштабне вторгнення російської федерації на територію України.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33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  <w:lang w:eastAsia="uk-UA"/>
              </w:rPr>
              <w:t xml:space="preserve">Проведення консультацій з питань відновлення </w:t>
            </w:r>
            <w:r w:rsidRPr="00E41B1E">
              <w:rPr>
                <w:rFonts w:ascii="Times New Roman" w:eastAsia="Calibri" w:hAnsi="Times New Roman" w:cs="Times New Roman"/>
                <w:lang w:eastAsia="uk-UA"/>
              </w:rPr>
              <w:lastRenderedPageBreak/>
              <w:t>документів, звільнення з роботи на тимчасово окупованій території, встановлення факту смерті чи народження на тимчасово окупованій території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Центри з надання безоплатної вторинної </w:t>
            </w: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правової допомоги, 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районні державні адміністрації (за згодою),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органи місцевого самоврядування (за згодою)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887CE8" w:rsidRDefault="002A08E7" w:rsidP="002A08E7">
            <w:pPr>
              <w:jc w:val="both"/>
              <w:rPr>
                <w:rFonts w:ascii="Times New Roman" w:eastAsia="Calibri" w:hAnsi="Times New Roman" w:cs="Times New Roman"/>
                <w:color w:val="FF0000"/>
                <w:spacing w:val="-4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Працівниками бюро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безоплатної правничої допомоги, на території Чернігівської області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протягом 2024 року надано 428 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консультацій. Також надавалася безоплатна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первинна правнича допомога з питань, зокрема: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1) Визнання права власності на житловий будинок у порядку спадкування;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2) Встановлення юридичного факту, а саме належності правовстановлюючого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документу;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3) Оскарження рішення ПФУ щодо відмови у призначенні пенсії;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4) Оформлення соціальних пільг;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5) Встановлення факту спільного проживання однією родиною;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6) Визначення місця проживання дитини.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  <w:lang w:eastAsia="uk-UA"/>
              </w:rPr>
              <w:t>Допомога в написанні позовних заяв, скарг до судових органів особам, які перемістились  з тимчасово окупованих територій у Чернігівську область та особам з числа ВПО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Центри з надання безоплатної вторинної правової допомоги (за згодою)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E41B1E" w:rsidRPr="00887CE8" w:rsidRDefault="002A08E7" w:rsidP="002A08E7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     П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рацівниками бюро безоплатної правничої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допомоги, на території Чернігівської області </w:t>
            </w:r>
            <w:proofErr w:type="spellStart"/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протягм</w:t>
            </w:r>
            <w:proofErr w:type="spellEnd"/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2024 року надано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безоплатну вторинну </w:t>
            </w:r>
            <w:proofErr w:type="spellStart"/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правнчу</w:t>
            </w:r>
            <w:proofErr w:type="spellEnd"/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допомогу 104 особам. Допомогу було надано з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питань складання документів процесуального характеру, представництва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інтересів в судах з питань, зокрема: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1) Встановлення юридичного факту, а саме належності правовстановлюючого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документу;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2) Розірвання шлюбу;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3) Стягнення аліментів на утримання дитини;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4) Зарахування стажу роботи до пенсії;</w:t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2A08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5) Встановлення факту смерті на тимчасово окупованій території.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  <w:lang w:eastAsia="uk-UA"/>
              </w:rPr>
              <w:t xml:space="preserve">Забезпечення осіб з числа ВПО </w:t>
            </w:r>
            <w:r w:rsidRPr="00E41B1E">
              <w:rPr>
                <w:rFonts w:ascii="Times New Roman" w:eastAsia="Calibri" w:hAnsi="Times New Roman" w:cs="Times New Roman"/>
              </w:rPr>
              <w:t xml:space="preserve">харчовими наборами, санітарно-гігієнічними наборами, засобами тривалого використання 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Міські, селищні, сільські ради (за згодою),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1B1E">
              <w:rPr>
                <w:rFonts w:ascii="Times New Roman" w:eastAsia="Times New Roman" w:hAnsi="Times New Roman" w:cs="Times New Roman"/>
                <w:lang w:eastAsia="ru-RU"/>
              </w:rPr>
              <w:t>громадські організації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3942" w:type="dxa"/>
          </w:tcPr>
          <w:p w:rsidR="00E41B1E" w:rsidRPr="004A6301" w:rsidRDefault="002A08E7" w:rsidP="009646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41B1E"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Проводиться </w:t>
            </w:r>
            <w:r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моніторинг </w:t>
            </w:r>
            <w:r w:rsidR="00E41B1E"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>потреб для забезпечення належних умов проживання ВПО</w:t>
            </w:r>
            <w:r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зокрема в </w:t>
            </w:r>
            <w:r w:rsidR="00E41B1E"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речах, санітарно-гігієнічних засобах, продуктах харчування, технічних засобах для освітнього процесу внутрішньо переміщених осіб</w:t>
            </w:r>
            <w:r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тощо</w:t>
            </w:r>
            <w:r w:rsidR="00E41B1E"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A6301" w:rsidRPr="004A6301" w:rsidRDefault="002A08E7" w:rsidP="00964674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Зокрема, </w:t>
            </w:r>
            <w:r w:rsidR="004A6301" w:rsidRPr="004A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прикордонними </w:t>
            </w:r>
            <w:r w:rsidRPr="004A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громади області налагоджена співпраця з міжнародними та іншими неурядовими організаціями в частині забезпечення </w:t>
            </w:r>
            <w:r w:rsidR="004A6301" w:rsidRPr="004A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громадян продуктовими наборами, </w:t>
            </w:r>
            <w:r w:rsidR="00E41B1E" w:rsidRPr="004A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засобами гігієни, одягом</w:t>
            </w:r>
            <w:r w:rsidR="004A6301" w:rsidRPr="004A6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тощо.</w:t>
            </w:r>
          </w:p>
          <w:p w:rsidR="00E41B1E" w:rsidRPr="00887CE8" w:rsidRDefault="004A6301" w:rsidP="004A6301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Також, у модульних містечках, куди переміщуються громадяни з громад, які постійно обстрілюють ся, надається гуманітарна допомога у в</w:t>
            </w:r>
            <w:r w:rsidR="00E41B1E" w:rsidRPr="004A6301">
              <w:rPr>
                <w:rFonts w:ascii="Times New Roman" w:eastAsia="Calibri" w:hAnsi="Times New Roman" w:cs="Times New Roman"/>
                <w:sz w:val="24"/>
                <w:szCs w:val="24"/>
              </w:rPr>
              <w:t>игляді продуктових наборів, наборів гігієни, ковдр, матраців, наборів посуду тощо.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t>36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  <w:lang w:eastAsia="uk-UA"/>
              </w:rPr>
              <w:t xml:space="preserve">Організація працевлаштування шукачів роботи та безробітних </w:t>
            </w:r>
            <w:r w:rsidRPr="00E41B1E">
              <w:rPr>
                <w:rFonts w:ascii="Times New Roman" w:eastAsia="Calibri" w:hAnsi="Times New Roman" w:cs="Times New Roman"/>
              </w:rPr>
              <w:t>ВПО</w:t>
            </w:r>
            <w:r w:rsidRPr="00E41B1E">
              <w:rPr>
                <w:rFonts w:ascii="Times New Roman" w:eastAsia="Calibri" w:hAnsi="Times New Roman" w:cs="Times New Roman"/>
                <w:lang w:eastAsia="uk-UA"/>
              </w:rPr>
              <w:t xml:space="preserve"> на вільні робочі місця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autoSpaceDN w:val="0"/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t>Обласний центр зайнятості (за згодою)</w:t>
            </w:r>
          </w:p>
          <w:p w:rsidR="00E41B1E" w:rsidRPr="00E41B1E" w:rsidRDefault="00E41B1E" w:rsidP="00964674">
            <w:pPr>
              <w:widowControl w:val="0"/>
              <w:snapToGrid w:val="0"/>
              <w:spacing w:line="216" w:lineRule="auto"/>
              <w:ind w:left="-108" w:right="-108"/>
              <w:rPr>
                <w:rFonts w:ascii="Times New Roman" w:eastAsia="Calibri" w:hAnsi="Times New Roman" w:cs="Times New Roman"/>
                <w:spacing w:val="-4"/>
              </w:rPr>
            </w:pP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  <w:vAlign w:val="center"/>
          </w:tcPr>
          <w:p w:rsidR="00E41B1E" w:rsidRPr="00A97E64" w:rsidRDefault="007019B6" w:rsidP="00A97E64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  </w:t>
            </w:r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 2024 рік за сприяння служби зайнятості було </w:t>
            </w:r>
            <w:proofErr w:type="spellStart"/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працевлаштовано</w:t>
            </w:r>
            <w:proofErr w:type="spellEnd"/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419 осіб з числа ВПО, з них 28 осіб працевлаштовані з компенсацією витрат роботодавцю на оплату праці, 7 осіб брали учать у громадських </w:t>
            </w:r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роботах та роботах тимчасового характеру, 73 безробітних з числа внутрішньо переміщених осіб проходили  </w:t>
            </w:r>
            <w:proofErr w:type="spellStart"/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профнавчання</w:t>
            </w:r>
            <w:proofErr w:type="spellEnd"/>
            <w:r w:rsidR="00A97E64" w:rsidRPr="00A97E6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за замовленням роботодавців.</w:t>
            </w:r>
          </w:p>
        </w:tc>
      </w:tr>
      <w:tr w:rsidR="00E41B1E" w:rsidRPr="00E41B1E" w:rsidTr="00D11124">
        <w:trPr>
          <w:trHeight w:val="227"/>
          <w:jc w:val="center"/>
        </w:trPr>
        <w:tc>
          <w:tcPr>
            <w:tcW w:w="53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1B1E">
              <w:rPr>
                <w:rFonts w:ascii="Calibri" w:eastAsia="Calibri" w:hAnsi="Calibri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62" w:type="dxa"/>
          </w:tcPr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t>Реалізація програм компенсування витрат роботодавців на оплату праці та єдиний внесок на загальнообов’язкове державне соціальне страхування за працевлаштування безробітних:</w:t>
            </w:r>
          </w:p>
          <w:p w:rsidR="00E41B1E" w:rsidRPr="00E41B1E" w:rsidRDefault="00E41B1E" w:rsidP="00964674">
            <w:pPr>
              <w:spacing w:line="259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E41B1E">
              <w:rPr>
                <w:rFonts w:ascii="Times New Roman" w:eastAsia="Calibri" w:hAnsi="Times New Roman" w:cs="Times New Roman"/>
                <w:lang w:eastAsia="ru-RU"/>
              </w:rPr>
              <w:t xml:space="preserve">- компенсація роботодавцю витрат на оплату праці за працевлаштування  внутрішньо переміщених осіб внаслідок проведення </w:t>
            </w:r>
            <w:r w:rsidRPr="00E41B1E">
              <w:rPr>
                <w:rFonts w:ascii="Times New Roman" w:eastAsia="Calibri" w:hAnsi="Times New Roman" w:cs="Times New Roman"/>
                <w:lang w:eastAsia="ru-RU"/>
              </w:rPr>
              <w:lastRenderedPageBreak/>
              <w:t>бойових дій під час воєнного стану в Україні;</w:t>
            </w:r>
          </w:p>
          <w:p w:rsidR="00E41B1E" w:rsidRPr="00E41B1E" w:rsidRDefault="00E41B1E" w:rsidP="00964674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pacing w:val="-4"/>
              </w:rPr>
            </w:pPr>
            <w:r w:rsidRPr="00E41B1E">
              <w:rPr>
                <w:rFonts w:ascii="Times New Roman" w:eastAsia="Calibri" w:hAnsi="Times New Roman" w:cs="Times New Roman"/>
              </w:rPr>
              <w:t>- компенсація витрат роботодавця на оплату праці за працевлаштування внутрішньо переміщених осіб на умовах строкового трудового договору</w:t>
            </w:r>
          </w:p>
        </w:tc>
        <w:tc>
          <w:tcPr>
            <w:tcW w:w="1418" w:type="dxa"/>
          </w:tcPr>
          <w:p w:rsidR="00E41B1E" w:rsidRPr="00E41B1E" w:rsidRDefault="00E41B1E" w:rsidP="00964674">
            <w:pPr>
              <w:rPr>
                <w:rFonts w:ascii="Times New Roman" w:eastAsia="Calibri" w:hAnsi="Times New Roman" w:cs="Times New Roman"/>
              </w:rPr>
            </w:pPr>
            <w:r w:rsidRPr="00E41B1E">
              <w:rPr>
                <w:rFonts w:ascii="Times New Roman" w:eastAsia="Calibri" w:hAnsi="Times New Roman" w:cs="Times New Roman"/>
              </w:rPr>
              <w:lastRenderedPageBreak/>
              <w:t>Обласний центр зайнятості (за згодою)</w:t>
            </w:r>
          </w:p>
        </w:tc>
        <w:tc>
          <w:tcPr>
            <w:tcW w:w="283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81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12" w:type="dxa"/>
            <w:gridSpan w:val="2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25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18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20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9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54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6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02" w:type="dxa"/>
          </w:tcPr>
          <w:p w:rsidR="00E41B1E" w:rsidRPr="00E41B1E" w:rsidRDefault="00E41B1E" w:rsidP="0096467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942" w:type="dxa"/>
          </w:tcPr>
          <w:p w:rsidR="00A97E64" w:rsidRPr="00A97E64" w:rsidRDefault="007019B6" w:rsidP="00A97E64">
            <w:pPr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97E64" w:rsidRPr="00A97E64">
              <w:rPr>
                <w:rFonts w:ascii="Times New Roman" w:eastAsia="Calibri" w:hAnsi="Times New Roman" w:cs="Times New Roman"/>
                <w:sz w:val="24"/>
                <w:szCs w:val="24"/>
              </w:rPr>
              <w:t>Вже десять років служба зайнятості реалізовує заходи сприяння зайнятості внутрішньо переміщених осіб, передбачених статтею 24¹ Закону України «Про зайнятість населення» та «Порядком здійснення заходів сприяння зайнятості внутрішньо переміщених осіб», затвердженого  постановою КМУ №</w:t>
            </w:r>
            <w:r w:rsidR="00A9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7E64" w:rsidRPr="00A9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696 від 08.09.2015 року. Цією програмою передбачено відшкодування роботодавцям фактичних витрат на оплату праці за працевлаштування за направленням служби зайнятості на умовах строкових трудових договорів зареєстрованих безробітних з числа ВПО. У </w:t>
            </w:r>
            <w:r w:rsidR="00A9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2024 </w:t>
            </w:r>
            <w:r w:rsidR="00A97E64" w:rsidRPr="00A9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році були прийняті рішення про надання такої компенсації за 28 працевлаштованих безробітних осіб. </w:t>
            </w:r>
          </w:p>
          <w:p w:rsidR="00A97E64" w:rsidRPr="00A97E64" w:rsidRDefault="007019B6" w:rsidP="00A97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A97E64" w:rsidRPr="00A97E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Постановою КМУ від  20.03.2022 року №331 затверджено «Порядок надання роботодавцю компенсації витрат на оплату праці за працевлаштування внутрішньо переміщених осіб внаслідок проведення бойових дій під час </w:t>
            </w:r>
            <w:r w:rsidR="00A97E64" w:rsidRPr="00A97E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воєнного стану в Україні». Дія його поширюється на тих роботодавців, які працевлаштували внутрішньо переміщених осіб під час воєнного стану, тобто після 24.02.2022 року. Така компенсація надавалась роботодавцю у розмірі мінімальної заробітної плати щомісячно за кожну працевлаштовану особу, за яку сплачується єдиний внесок, але не більше 3-х місяців, а у разі працевлаштування особи з інвалідністю з числа внутрішньо переміщених осіб – не більше 6 місяців. За поточний рік таку компенсацію надано на оплату праці 168 працевлаштованих внутрішньо переміщених осіб.</w:t>
            </w:r>
          </w:p>
          <w:p w:rsidR="00A97E64" w:rsidRPr="00A97E64" w:rsidRDefault="00A97E64" w:rsidP="00A97E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1B1E" w:rsidRPr="00887CE8" w:rsidRDefault="00E41B1E" w:rsidP="00A97E64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E41B1E" w:rsidRDefault="00E41B1E"/>
    <w:sectPr w:rsidR="00E41B1E" w:rsidSect="00E41B1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E41B1E"/>
    <w:rsid w:val="000462AF"/>
    <w:rsid w:val="000B7AB6"/>
    <w:rsid w:val="0012557A"/>
    <w:rsid w:val="00143658"/>
    <w:rsid w:val="001574EA"/>
    <w:rsid w:val="00180397"/>
    <w:rsid w:val="001850C5"/>
    <w:rsid w:val="002A08E7"/>
    <w:rsid w:val="002A48D8"/>
    <w:rsid w:val="0036646F"/>
    <w:rsid w:val="004A43AE"/>
    <w:rsid w:val="004A6301"/>
    <w:rsid w:val="004E0C5F"/>
    <w:rsid w:val="005229D6"/>
    <w:rsid w:val="00553BE4"/>
    <w:rsid w:val="006463C9"/>
    <w:rsid w:val="006611CA"/>
    <w:rsid w:val="00686080"/>
    <w:rsid w:val="007019B6"/>
    <w:rsid w:val="00746C53"/>
    <w:rsid w:val="00794D79"/>
    <w:rsid w:val="00844755"/>
    <w:rsid w:val="00870DB9"/>
    <w:rsid w:val="008716CC"/>
    <w:rsid w:val="00876B6A"/>
    <w:rsid w:val="00887CE8"/>
    <w:rsid w:val="0091454E"/>
    <w:rsid w:val="00927D88"/>
    <w:rsid w:val="00941C7C"/>
    <w:rsid w:val="00964674"/>
    <w:rsid w:val="00977113"/>
    <w:rsid w:val="0099068B"/>
    <w:rsid w:val="00A60256"/>
    <w:rsid w:val="00A74005"/>
    <w:rsid w:val="00A97E64"/>
    <w:rsid w:val="00AF61AA"/>
    <w:rsid w:val="00B335F6"/>
    <w:rsid w:val="00C14315"/>
    <w:rsid w:val="00C30018"/>
    <w:rsid w:val="00C617EE"/>
    <w:rsid w:val="00CB2681"/>
    <w:rsid w:val="00CB6AFF"/>
    <w:rsid w:val="00D11124"/>
    <w:rsid w:val="00D47B40"/>
    <w:rsid w:val="00D60047"/>
    <w:rsid w:val="00D73C49"/>
    <w:rsid w:val="00E10442"/>
    <w:rsid w:val="00E41B1E"/>
    <w:rsid w:val="00E94CDE"/>
    <w:rsid w:val="00F401D8"/>
    <w:rsid w:val="00F45891"/>
    <w:rsid w:val="00FA18EF"/>
    <w:rsid w:val="00FB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9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"/>
    <w:rsid w:val="00A9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91454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145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680C1-0B1A-40F9-AE0D-33B71ED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37</Pages>
  <Words>29532</Words>
  <Characters>16834</Characters>
  <Application>Microsoft Office Word</Application>
  <DocSecurity>0</DocSecurity>
  <Lines>140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0503</cp:lastModifiedBy>
  <cp:revision>5</cp:revision>
  <cp:lastPrinted>2025-01-27T14:35:00Z</cp:lastPrinted>
  <dcterms:created xsi:type="dcterms:W3CDTF">2025-01-23T10:29:00Z</dcterms:created>
  <dcterms:modified xsi:type="dcterms:W3CDTF">2025-01-27T14:38:00Z</dcterms:modified>
</cp:coreProperties>
</file>